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160"/>
      </w:pPr>
      <w:r>
        <w:rPr>
          <w:rFonts w:ascii="Aptos" w:hAnsi="Aptos"/>
          <w:b/>
          <w:i w:val="0"/>
          <w:color w:val="E33E48"/>
          <w:sz w:val="20"/>
        </w:rPr>
        <w:t>DAEMONCORE  //  ACADEMY</w:t>
      </w:r>
    </w:p>
    <w:p>
      <w:pPr>
        <w:spacing w:before="80" w:after="140"/>
        <w:jc w:val="center"/>
      </w:pPr>
      <w:r>
        <w:drawing>
          <wp:inline xmlns:a="http://schemas.openxmlformats.org/drawingml/2006/main" xmlns:pic="http://schemas.openxmlformats.org/drawingml/2006/picture">
            <wp:extent cx="5943600" cy="2971800"/>
            <wp:docPr id="1" name="Picture 1" descr="DaemonCore FieldOps War Room commercial campaign image" title="DaemonCore FieldOps War Room commercial campaign image"/>
            <wp:cNvGraphicFramePr>
              <a:graphicFrameLocks noChangeAspect="1"/>
            </wp:cNvGraphicFramePr>
            <a:graphic>
              <a:graphicData uri="http://schemas.openxmlformats.org/drawingml/2006/picture">
                <pic:pic>
                  <pic:nvPicPr>
                    <pic:cNvPr id="0" name="fieldops-war-room-hero.png"/>
                    <pic:cNvPicPr/>
                  </pic:nvPicPr>
                  <pic:blipFill>
                    <a:blip r:embed="rId9"/>
                    <a:stretch>
                      <a:fillRect/>
                    </a:stretch>
                  </pic:blipFill>
                  <pic:spPr>
                    <a:xfrm>
                      <a:off x="0" y="0"/>
                      <a:ext cx="5943600" cy="2971800"/>
                    </a:xfrm>
                    <a:prstGeom prst="rect"/>
                  </pic:spPr>
                </pic:pic>
              </a:graphicData>
            </a:graphic>
          </wp:inline>
        </w:drawing>
      </w:r>
    </w:p>
    <w:p>
      <w:pPr>
        <w:spacing w:after="140"/>
      </w:pPr>
      <w:r>
        <w:rPr>
          <w:rFonts w:ascii="Aptos Display" w:hAnsi="Aptos Display"/>
          <w:b/>
          <w:color w:val="101216"/>
          <w:sz w:val="58"/>
        </w:rPr>
        <w:t>ENTERPRISE TRAINING &amp;</w:t>
        <w:br/>
        <w:t>WORKFORCE READINESS</w:t>
      </w:r>
    </w:p>
    <w:p>
      <w:pPr>
        <w:keepNext w:val="0"/>
        <w:spacing w:before="0" w:after="280"/>
      </w:pPr>
      <w:r>
        <w:rPr>
          <w:rFonts w:ascii="Aptos" w:hAnsi="Aptos"/>
          <w:b w:val="0"/>
          <w:i w:val="0"/>
          <w:color w:val="616873"/>
          <w:sz w:val="26"/>
        </w:rPr>
        <w:t>A practical cyber capability platform for teams that need more than passive course completion.</w:t>
      </w:r>
    </w:p>
    <w:tbl>
      <w:tblPr>
        <w:tblW w:type="dxa" w:w="9360"/>
        <w:jc w:val="left"/>
        <w:tblLayout w:type="fixed"/>
        <w:tblLook w:firstColumn="1" w:firstRow="1" w:lastColumn="0" w:lastRow="0" w:noHBand="0" w:noVBand="1" w:val="04A0"/>
        <w:tblInd w:w="130" w:type="dxa"/>
      </w:tblPr>
      <w:tblGrid>
        <w:gridCol w:w="2340"/>
        <w:gridCol w:w="2340"/>
        <w:gridCol w:w="2340"/>
        <w:gridCol w:w="2340"/>
      </w:tblGrid>
      <w:tr>
        <w:trPr>
          <w:tblHeader w:val="true"/>
        </w:trPr>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127</w:t>
            </w:r>
          </w:p>
          <w:p>
            <w:pPr>
              <w:spacing w:after="0"/>
              <w:jc w:val="center"/>
            </w:pPr>
            <w:r>
              <w:rPr>
                <w:rFonts w:ascii="Aptos" w:hAnsi="Aptos"/>
                <w:b/>
                <w:color w:val="C7CBD1"/>
                <w:sz w:val="15"/>
              </w:rPr>
              <w:t>COMPLETE LESSONS</w:t>
            </w:r>
          </w:p>
        </w:tc>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120h45</w:t>
            </w:r>
          </w:p>
          <w:p>
            <w:pPr>
              <w:spacing w:after="0"/>
              <w:jc w:val="center"/>
            </w:pPr>
            <w:r>
              <w:rPr>
                <w:rFonts w:ascii="Aptos" w:hAnsi="Aptos"/>
                <w:b/>
                <w:color w:val="C7CBD1"/>
                <w:sz w:val="15"/>
              </w:rPr>
              <w:t>GUIDED CURRICULUM</w:t>
            </w:r>
          </w:p>
        </w:tc>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70</w:t>
            </w:r>
          </w:p>
          <w:p>
            <w:pPr>
              <w:spacing w:after="0"/>
              <w:jc w:val="center"/>
            </w:pPr>
            <w:r>
              <w:rPr>
                <w:rFonts w:ascii="Aptos" w:hAnsi="Aptos"/>
                <w:b/>
                <w:color w:val="C7CBD1"/>
                <w:sz w:val="15"/>
              </w:rPr>
              <w:t>SPECIALIST CONDITIONS</w:t>
            </w:r>
          </w:p>
        </w:tc>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7</w:t>
            </w:r>
          </w:p>
          <w:p>
            <w:pPr>
              <w:spacing w:after="0"/>
              <w:jc w:val="center"/>
            </w:pPr>
            <w:r>
              <w:rPr>
                <w:rFonts w:ascii="Aptos" w:hAnsi="Aptos"/>
                <w:b/>
                <w:color w:val="C7CBD1"/>
                <w:sz w:val="15"/>
              </w:rPr>
              <w:t>SEALED FIELD MISSIONS</w:t>
            </w:r>
          </w:p>
        </w:tc>
      </w:tr>
    </w:tbl>
    <w:p>
      <w:pPr>
        <w:keepNext w:val="0"/>
        <w:spacing w:before="0" w:after="0"/>
      </w:pPr>
      <w:r>
        <w:rPr>
          <w:rFonts w:ascii="Aptos" w:hAnsi="Aptos"/>
          <w:b/>
          <w:i w:val="0"/>
          <w:color w:val="616873"/>
          <w:sz w:val="16"/>
        </w:rPr>
        <w:t>ACADEMY 6  //  ENTERPRISE CAPABILITY BRIEF  //  SEPTEMBER 2026</w:t>
      </w:r>
    </w:p>
    <w:p>
      <w:pPr>
        <w:sectPr>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01  //  EXECUTIVE BRIEF</w:t>
      </w:r>
    </w:p>
    <w:p>
      <w:pPr>
        <w:keepNext/>
        <w:spacing w:after="140"/>
      </w:pPr>
      <w:r>
        <w:rPr>
          <w:rFonts w:ascii="Aptos Display" w:hAnsi="Aptos Display"/>
          <w:b/>
          <w:color w:val="101216"/>
          <w:sz w:val="50"/>
        </w:rPr>
        <w:t>Build capability that leaves evidence.</w:t>
      </w:r>
    </w:p>
    <w:p>
      <w:pPr>
        <w:keepNext w:val="0"/>
        <w:spacing w:before="0" w:after="260"/>
      </w:pPr>
      <w:r>
        <w:rPr>
          <w:rFonts w:ascii="Aptos" w:hAnsi="Aptos"/>
          <w:b w:val="0"/>
          <w:i w:val="0"/>
          <w:color w:val="616873"/>
          <w:sz w:val="23"/>
        </w:rPr>
        <w:t>DaemonCore Academy combines structured instruction, scored decisions, disposable live environments, durable operator records, and an authorization-bound professional assessment workspace in one local-first desktop application.</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BEDEF"/>
          </w:tcPr>
          <w:p>
            <w:pPr>
              <w:spacing w:after="60"/>
            </w:pPr>
            <w:r>
              <w:rPr>
                <w:rFonts w:ascii="Aptos" w:hAnsi="Aptos"/>
                <w:b/>
                <w:color w:val="E33E48"/>
                <w:sz w:val="16"/>
              </w:rPr>
              <w:t>THE ENTERPRISE PROPOSITION</w:t>
            </w:r>
          </w:p>
          <w:p>
            <w:pPr>
              <w:spacing w:after="0"/>
            </w:pPr>
            <w:r>
              <w:rPr>
                <w:rFonts w:ascii="Aptos" w:hAnsi="Aptos"/>
                <w:color w:val="23272D"/>
                <w:sz w:val="20"/>
              </w:rPr>
              <w:t>Give employees a repeatable path from understanding a control, to practicing it, to proving an outcome - without turning training progress into an imaginary leaderboard or exposing practice targets to the public internet.</w:t>
            </w:r>
          </w:p>
        </w:tc>
      </w:tr>
    </w:tbl>
    <w:p>
      <w:pPr>
        <w:spacing w:after="40"/>
      </w:pPr>
    </w:p>
    <w:p>
      <w:pPr>
        <w:pStyle w:val="Heading2"/>
      </w:pPr>
      <w:r>
        <w:t>Designed for</w:t>
      </w:r>
    </w:p>
    <w:p>
      <w:pPr>
        <w:pStyle w:val="ListBullet"/>
        <w:keepLines/>
      </w:pPr>
      <w:r>
        <w:rPr>
          <w:rFonts w:ascii="Aptos" w:hAnsi="Aptos"/>
          <w:color w:val="23272D"/>
          <w:sz w:val="21"/>
        </w:rPr>
        <w:t>Security teams building common assessment, evidence, and reporting habits across mixed experience levels.</w:t>
      </w:r>
    </w:p>
    <w:p>
      <w:pPr>
        <w:pStyle w:val="ListBullet"/>
        <w:keepLines/>
      </w:pPr>
      <w:r>
        <w:rPr>
          <w:rFonts w:ascii="Aptos" w:hAnsi="Aptos"/>
          <w:color w:val="23272D"/>
          <w:sz w:val="21"/>
        </w:rPr>
        <w:t>Engineering organizations strengthening application, identity, cloud, Linux, container, detection, and software supply-chain capability.</w:t>
      </w:r>
    </w:p>
    <w:p>
      <w:pPr>
        <w:pStyle w:val="ListBullet"/>
        <w:keepLines/>
      </w:pPr>
      <w:r>
        <w:rPr>
          <w:rFonts w:ascii="Aptos" w:hAnsi="Aptos"/>
          <w:color w:val="23272D"/>
          <w:sz w:val="21"/>
        </w:rPr>
        <w:t>Leaders who need practical learning records and after-action evidence rather than attendance alone.</w:t>
      </w:r>
    </w:p>
    <w:p>
      <w:pPr>
        <w:pStyle w:val="ListBullet"/>
        <w:keepLines/>
      </w:pPr>
      <w:r>
        <w:rPr>
          <w:rFonts w:ascii="Aptos" w:hAnsi="Aptos"/>
          <w:color w:val="23272D"/>
          <w:sz w:val="21"/>
        </w:rPr>
        <w:t>Consulting and internal assurance teams that want training and professional authorized diagnostics in the same operating model.</w:t>
      </w:r>
    </w:p>
    <w:p>
      <w:pPr>
        <w:pStyle w:val="Heading2"/>
      </w:pPr>
      <w:r>
        <w:t>What makes it different</w:t>
      </w:r>
    </w:p>
    <w:p>
      <w:pPr>
        <w:keepNext w:val="0"/>
        <w:spacing w:before="0" w:after="120"/>
      </w:pPr>
      <w:r>
        <w:rPr>
          <w:rFonts w:ascii="Aptos" w:hAnsi="Aptos"/>
          <w:b w:val="0"/>
          <w:i w:val="0"/>
          <w:color w:val="23272D"/>
        </w:rPr>
        <w:t>The Academy teaches a method: establish scope, collect a defensible signal, test the boundary, preserve evidence, communicate impact, and verify remediation. FieldOps carries that method into real authorized engagements with signed permits, exact targets, sealed captures, findings, retests, and client-ready exports.</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2F4F6"/>
          </w:tcPr>
          <w:p>
            <w:pPr>
              <w:spacing w:after="60"/>
            </w:pPr>
            <w:r>
              <w:rPr>
                <w:rFonts w:ascii="Aptos" w:hAnsi="Aptos"/>
                <w:b/>
                <w:color w:val="101216"/>
                <w:sz w:val="16"/>
              </w:rPr>
              <w:t>CURRENT COMMERCIAL MODEL</w:t>
            </w:r>
          </w:p>
          <w:p>
            <w:pPr>
              <w:spacing w:after="0"/>
            </w:pPr>
            <w:r>
              <w:rPr>
                <w:rFonts w:ascii="Aptos" w:hAnsi="Aptos"/>
                <w:color w:val="23272D"/>
                <w:sz w:val="20"/>
              </w:rPr>
              <w:t>The Academy is free to use. FieldOps is the paid professional gate. The current retail FieldOps license is $199 one time; organization-wide deployment, support, procurement, and commercial terms should be scoped separately.</w:t>
            </w:r>
          </w:p>
        </w:tc>
      </w:tr>
    </w:tbl>
    <w:p>
      <w:pPr>
        <w:spacing w:after="40"/>
      </w:pPr>
    </w:p>
    <w:p>
      <w:pPr>
        <w:sectPr>
          <w:headerReference w:type="default" r:id="rId10"/>
          <w:headerReference w:type="even" r:id="rId11"/>
          <w:headerReference w:type="first" r:id="rId12"/>
          <w:footerReference w:type="default" r:id="rId13"/>
          <w:footerReference w:type="even" r:id="rId14"/>
          <w:footerReference w:type="first" r:id="rId15"/>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02  //  PLATFORM MODEL</w:t>
      </w:r>
    </w:p>
    <w:p>
      <w:pPr>
        <w:keepNext/>
        <w:spacing w:after="140"/>
      </w:pPr>
      <w:r>
        <w:rPr>
          <w:rFonts w:ascii="Aptos Display" w:hAnsi="Aptos Display"/>
          <w:b/>
          <w:color w:val="101216"/>
          <w:sz w:val="50"/>
        </w:rPr>
        <w:t>One desktop. Four connected capability layers.</w:t>
      </w:r>
    </w:p>
    <w:p>
      <w:pPr>
        <w:keepNext w:val="0"/>
        <w:spacing w:before="0" w:after="260"/>
      </w:pPr>
      <w:r>
        <w:rPr>
          <w:rFonts w:ascii="Aptos" w:hAnsi="Aptos"/>
          <w:b w:val="0"/>
          <w:i w:val="0"/>
          <w:color w:val="616873"/>
          <w:sz w:val="23"/>
        </w:rPr>
        <w:t>Employees move through guided learning, live practice, scored proof, and professional operations without stitching together unrelated websites and disposable progress records.</w:t>
      </w:r>
    </w:p>
    <w:p>
      <w:pPr>
        <w:spacing w:before="80" w:after="140"/>
        <w:jc w:val="center"/>
      </w:pPr>
      <w:r>
        <w:drawing>
          <wp:inline xmlns:a="http://schemas.openxmlformats.org/drawingml/2006/main" xmlns:pic="http://schemas.openxmlformats.org/drawingml/2006/picture">
            <wp:extent cx="5623560" cy="3749040"/>
            <wp:docPr id="2" name="Picture 2" descr="DaemonCore professional authorized assessment field kit" title="DaemonCore professional authorized assessment field kit"/>
            <wp:cNvGraphicFramePr>
              <a:graphicFrameLocks noChangeAspect="1"/>
            </wp:cNvGraphicFramePr>
            <a:graphic>
              <a:graphicData uri="http://schemas.openxmlformats.org/drawingml/2006/picture">
                <pic:pic>
                  <pic:nvPicPr>
                    <pic:cNvPr id="0" name="field-kit-campaign.png"/>
                    <pic:cNvPicPr/>
                  </pic:nvPicPr>
                  <pic:blipFill>
                    <a:blip r:embed="rId22"/>
                    <a:stretch>
                      <a:fillRect/>
                    </a:stretch>
                  </pic:blipFill>
                  <pic:spPr>
                    <a:xfrm>
                      <a:off x="0" y="0"/>
                      <a:ext cx="5623560" cy="3749040"/>
                    </a:xfrm>
                    <a:prstGeom prst="rect"/>
                  </pic:spPr>
                </pic:pic>
              </a:graphicData>
            </a:graphic>
          </wp:inline>
        </w:drawing>
      </w:r>
    </w:p>
    <w:p>
      <w:pPr>
        <w:keepNext w:val="0"/>
        <w:spacing w:before="0" w:after="180"/>
        <w:jc w:val="center"/>
      </w:pPr>
      <w:r>
        <w:rPr>
          <w:rFonts w:ascii="Aptos" w:hAnsi="Aptos"/>
          <w:b w:val="0"/>
          <w:i/>
          <w:color w:val="616873"/>
          <w:sz w:val="16"/>
        </w:rPr>
        <w:t>A local-first operating model designed for dedicated workstations and controlled team environments.</w:t>
      </w:r>
    </w:p>
    <w:tbl>
      <w:tblPr>
        <w:tblW w:type="dxa" w:w="9360"/>
        <w:tblLayout w:type="fixed"/>
        <w:tblLook w:firstColumn="1" w:firstRow="1" w:lastColumn="0" w:lastRow="0" w:noHBand="0" w:noVBand="1" w:val="04A0"/>
        <w:jc w:val="left"/>
        <w:tblInd w:w="130" w:type="dxa"/>
      </w:tblPr>
      <w:tblGrid>
        <w:gridCol w:w="1700"/>
        <w:gridCol w:w="4050"/>
        <w:gridCol w:w="3610"/>
      </w:tblGrid>
      <w:tr>
        <w:trPr>
          <w:tblHeader w:val="true"/>
        </w:trPr>
        <w:tc>
          <w:tcPr>
            <w:tcW w:type="dxa" w:w="1700"/>
            <w:tcMar>
              <w:top w:w="100" w:type="dxa"/>
              <w:start w:w="130" w:type="dxa"/>
              <w:bottom w:w="100" w:type="dxa"/>
              <w:end w:w="130" w:type="dxa"/>
            </w:tcMar>
            <w:vAlign w:val="center"/>
            <w:shd w:fill="101216"/>
          </w:tcPr>
          <w:p>
            <w:pPr>
              <w:spacing w:after="0"/>
            </w:pPr>
            <w:r>
              <w:rPr>
                <w:rFonts w:ascii="Aptos" w:hAnsi="Aptos"/>
                <w:b/>
                <w:color w:val="FFFFFF"/>
                <w:sz w:val="16"/>
              </w:rPr>
              <w:t>LAYER</w:t>
            </w:r>
          </w:p>
        </w:tc>
        <w:tc>
          <w:tcPr>
            <w:tcW w:type="dxa" w:w="4050"/>
            <w:tcMar>
              <w:top w:w="100" w:type="dxa"/>
              <w:start w:w="130" w:type="dxa"/>
              <w:bottom w:w="100" w:type="dxa"/>
              <w:end w:w="130" w:type="dxa"/>
            </w:tcMar>
            <w:vAlign w:val="center"/>
            <w:shd w:fill="101216"/>
          </w:tcPr>
          <w:p>
            <w:pPr>
              <w:spacing w:after="0"/>
            </w:pPr>
            <w:r>
              <w:rPr>
                <w:rFonts w:ascii="Aptos" w:hAnsi="Aptos"/>
                <w:b/>
                <w:color w:val="FFFFFF"/>
                <w:sz w:val="16"/>
              </w:rPr>
              <w:t>PURPOSE</w:t>
            </w:r>
          </w:p>
        </w:tc>
        <w:tc>
          <w:tcPr>
            <w:tcW w:type="dxa" w:w="3610"/>
            <w:tcMar>
              <w:top w:w="100" w:type="dxa"/>
              <w:start w:w="130" w:type="dxa"/>
              <w:bottom w:w="100" w:type="dxa"/>
              <w:end w:w="130" w:type="dxa"/>
            </w:tcMar>
            <w:vAlign w:val="center"/>
            <w:shd w:fill="101216"/>
          </w:tcPr>
          <w:p>
            <w:pPr>
              <w:spacing w:after="0"/>
            </w:pPr>
            <w:r>
              <w:rPr>
                <w:rFonts w:ascii="Aptos" w:hAnsi="Aptos"/>
                <w:b/>
                <w:color w:val="FFFFFF"/>
                <w:sz w:val="16"/>
              </w:rPr>
              <w:t>PROOF PRODUCED</w:t>
            </w:r>
          </w:p>
        </w:tc>
      </w:tr>
      <w:tr>
        <w:tc>
          <w:tcPr>
            <w:tcW w:type="dxa" w:w="1700"/>
            <w:tcMar>
              <w:top w:w="100" w:type="dxa"/>
              <w:start w:w="130" w:type="dxa"/>
              <w:bottom w:w="100" w:type="dxa"/>
              <w:end w:w="130" w:type="dxa"/>
            </w:tcMar>
            <w:vAlign w:val="center"/>
          </w:tcPr>
          <w:p>
            <w:pPr>
              <w:spacing w:after="0"/>
            </w:pPr>
            <w:r>
              <w:rPr>
                <w:rFonts w:ascii="Aptos" w:hAnsi="Aptos"/>
                <w:color w:val="23272D"/>
                <w:sz w:val="18"/>
              </w:rPr>
              <w:t>Mission OS</w:t>
            </w:r>
          </w:p>
        </w:tc>
        <w:tc>
          <w:tcPr>
            <w:tcW w:type="dxa" w:w="4050"/>
            <w:tcMar>
              <w:top w:w="100" w:type="dxa"/>
              <w:start w:w="130" w:type="dxa"/>
              <w:bottom w:w="100" w:type="dxa"/>
              <w:end w:w="130" w:type="dxa"/>
            </w:tcMar>
            <w:vAlign w:val="center"/>
          </w:tcPr>
          <w:p>
            <w:pPr>
              <w:spacing w:after="0"/>
            </w:pPr>
            <w:r>
              <w:rPr>
                <w:rFonts w:ascii="Aptos" w:hAnsi="Aptos"/>
                <w:color w:val="23272D"/>
                <w:sz w:val="18"/>
              </w:rPr>
              <w:t>Diagnose strengths and select role-based routes</w:t>
            </w:r>
          </w:p>
        </w:tc>
        <w:tc>
          <w:tcPr>
            <w:tcW w:type="dxa" w:w="3610"/>
            <w:tcMar>
              <w:top w:w="100" w:type="dxa"/>
              <w:start w:w="130" w:type="dxa"/>
              <w:bottom w:w="100" w:type="dxa"/>
              <w:end w:w="130" w:type="dxa"/>
            </w:tcMar>
            <w:vAlign w:val="center"/>
          </w:tcPr>
          <w:p>
            <w:pPr>
              <w:spacing w:after="0"/>
            </w:pPr>
            <w:r>
              <w:rPr>
                <w:rFonts w:ascii="Aptos" w:hAnsi="Aptos"/>
                <w:color w:val="23272D"/>
                <w:sz w:val="18"/>
              </w:rPr>
              <w:t>Persisted baseline and next actions</w:t>
            </w:r>
          </w:p>
        </w:tc>
      </w:tr>
      <w:tr>
        <w:tc>
          <w:tcPr>
            <w:tcW w:type="dxa" w:w="1700"/>
            <w:shd w:fill="F2F4F6"/>
            <w:tcMar>
              <w:top w:w="100" w:type="dxa"/>
              <w:start w:w="130" w:type="dxa"/>
              <w:bottom w:w="100" w:type="dxa"/>
              <w:end w:w="130" w:type="dxa"/>
            </w:tcMar>
            <w:vAlign w:val="center"/>
          </w:tcPr>
          <w:p>
            <w:pPr>
              <w:spacing w:after="0"/>
            </w:pPr>
            <w:r>
              <w:rPr>
                <w:rFonts w:ascii="Aptos" w:hAnsi="Aptos"/>
                <w:color w:val="23272D"/>
                <w:sz w:val="18"/>
              </w:rPr>
              <w:t>Academy + Forge</w:t>
            </w:r>
          </w:p>
        </w:tc>
        <w:tc>
          <w:tcPr>
            <w:tcW w:type="dxa" w:w="4050"/>
            <w:shd w:fill="F2F4F6"/>
            <w:tcMar>
              <w:top w:w="100" w:type="dxa"/>
              <w:start w:w="130" w:type="dxa"/>
              <w:bottom w:w="100" w:type="dxa"/>
              <w:end w:w="130" w:type="dxa"/>
            </w:tcMar>
            <w:vAlign w:val="center"/>
          </w:tcPr>
          <w:p>
            <w:pPr>
              <w:spacing w:after="0"/>
            </w:pPr>
            <w:r>
              <w:rPr>
                <w:rFonts w:ascii="Aptos" w:hAnsi="Aptos"/>
                <w:color w:val="23272D"/>
                <w:sz w:val="18"/>
              </w:rPr>
              <w:t>Teach concepts through workshops and live specialist conditions</w:t>
            </w:r>
          </w:p>
        </w:tc>
        <w:tc>
          <w:tcPr>
            <w:tcW w:type="dxa" w:w="3610"/>
            <w:shd w:fill="F2F4F6"/>
            <w:tcMar>
              <w:top w:w="100" w:type="dxa"/>
              <w:start w:w="130" w:type="dxa"/>
              <w:bottom w:w="100" w:type="dxa"/>
              <w:end w:w="130" w:type="dxa"/>
            </w:tcMar>
            <w:vAlign w:val="center"/>
          </w:tcPr>
          <w:p>
            <w:pPr>
              <w:spacing w:after="0"/>
            </w:pPr>
            <w:r>
              <w:rPr>
                <w:rFonts w:ascii="Aptos" w:hAnsi="Aptos"/>
                <w:color w:val="23272D"/>
                <w:sz w:val="18"/>
              </w:rPr>
              <w:t>Attempts, decisions, accepted conditions</w:t>
            </w:r>
          </w:p>
        </w:tc>
      </w:tr>
      <w:tr>
        <w:tc>
          <w:tcPr>
            <w:tcW w:type="dxa" w:w="1700"/>
            <w:tcMar>
              <w:top w:w="100" w:type="dxa"/>
              <w:start w:w="130" w:type="dxa"/>
              <w:bottom w:w="100" w:type="dxa"/>
              <w:end w:w="130" w:type="dxa"/>
            </w:tcMar>
            <w:vAlign w:val="center"/>
          </w:tcPr>
          <w:p>
            <w:pPr>
              <w:spacing w:after="0"/>
            </w:pPr>
            <w:r>
              <w:rPr>
                <w:rFonts w:ascii="Aptos" w:hAnsi="Aptos"/>
                <w:color w:val="23272D"/>
                <w:sz w:val="18"/>
              </w:rPr>
              <w:t>Sealed Range</w:t>
            </w:r>
          </w:p>
        </w:tc>
        <w:tc>
          <w:tcPr>
            <w:tcW w:type="dxa" w:w="4050"/>
            <w:tcMar>
              <w:top w:w="100" w:type="dxa"/>
              <w:start w:w="130" w:type="dxa"/>
              <w:bottom w:w="100" w:type="dxa"/>
              <w:end w:w="130" w:type="dxa"/>
            </w:tcMar>
            <w:vAlign w:val="center"/>
          </w:tcPr>
          <w:p>
            <w:pPr>
              <w:spacing w:after="0"/>
            </w:pPr>
            <w:r>
              <w:rPr>
                <w:rFonts w:ascii="Aptos" w:hAnsi="Aptos"/>
                <w:color w:val="23272D"/>
                <w:sz w:val="18"/>
              </w:rPr>
              <w:t>Practice unrestricted investigation inside disposable containment</w:t>
            </w:r>
          </w:p>
        </w:tc>
        <w:tc>
          <w:tcPr>
            <w:tcW w:type="dxa" w:w="3610"/>
            <w:tcMar>
              <w:top w:w="100" w:type="dxa"/>
              <w:start w:w="130" w:type="dxa"/>
              <w:bottom w:w="100" w:type="dxa"/>
              <w:end w:w="130" w:type="dxa"/>
            </w:tcMar>
            <w:vAlign w:val="center"/>
          </w:tcPr>
          <w:p>
            <w:pPr>
              <w:spacing w:after="0"/>
            </w:pPr>
            <w:r>
              <w:rPr>
                <w:rFonts w:ascii="Aptos" w:hAnsi="Aptos"/>
                <w:color w:val="23272D"/>
                <w:sz w:val="18"/>
              </w:rPr>
              <w:t>Evidence ledger and completion receipt</w:t>
            </w:r>
          </w:p>
        </w:tc>
      </w:tr>
      <w:tr>
        <w:tc>
          <w:tcPr>
            <w:tcW w:type="dxa" w:w="1700"/>
            <w:shd w:fill="F2F4F6"/>
            <w:tcMar>
              <w:top w:w="100" w:type="dxa"/>
              <w:start w:w="130" w:type="dxa"/>
              <w:bottom w:w="100" w:type="dxa"/>
              <w:end w:w="130" w:type="dxa"/>
            </w:tcMar>
            <w:vAlign w:val="center"/>
          </w:tcPr>
          <w:p>
            <w:pPr>
              <w:spacing w:after="0"/>
            </w:pPr>
            <w:r>
              <w:rPr>
                <w:rFonts w:ascii="Aptos" w:hAnsi="Aptos"/>
                <w:color w:val="23272D"/>
                <w:sz w:val="18"/>
              </w:rPr>
              <w:t>FieldOps War Room</w:t>
            </w:r>
          </w:p>
        </w:tc>
        <w:tc>
          <w:tcPr>
            <w:tcW w:type="dxa" w:w="4050"/>
            <w:shd w:fill="F2F4F6"/>
            <w:tcMar>
              <w:top w:w="100" w:type="dxa"/>
              <w:start w:w="130" w:type="dxa"/>
              <w:bottom w:w="100" w:type="dxa"/>
              <w:end w:w="130" w:type="dxa"/>
            </w:tcMar>
            <w:vAlign w:val="center"/>
          </w:tcPr>
          <w:p>
            <w:pPr>
              <w:spacing w:after="0"/>
            </w:pPr>
            <w:r>
              <w:rPr>
                <w:rFonts w:ascii="Aptos" w:hAnsi="Aptos"/>
                <w:color w:val="23272D"/>
                <w:sz w:val="18"/>
              </w:rPr>
              <w:t>Run authorized diagnostics and assessment campaigns</w:t>
            </w:r>
          </w:p>
        </w:tc>
        <w:tc>
          <w:tcPr>
            <w:tcW w:type="dxa" w:w="3610"/>
            <w:shd w:fill="F2F4F6"/>
            <w:tcMar>
              <w:top w:w="100" w:type="dxa"/>
              <w:start w:w="130" w:type="dxa"/>
              <w:bottom w:w="100" w:type="dxa"/>
              <w:end w:w="130" w:type="dxa"/>
            </w:tcMar>
            <w:vAlign w:val="center"/>
          </w:tcPr>
          <w:p>
            <w:pPr>
              <w:spacing w:after="0"/>
            </w:pPr>
            <w:r>
              <w:rPr>
                <w:rFonts w:ascii="Aptos" w:hAnsi="Aptos"/>
                <w:color w:val="23272D"/>
                <w:sz w:val="18"/>
              </w:rPr>
              <w:t>Signed permits, captures, findings, reports</w:t>
            </w:r>
          </w:p>
        </w:tc>
      </w:tr>
    </w:tbl>
    <w:p>
      <w:pPr>
        <w:sectPr>
          <w:headerReference w:type="default" r:id="rId16"/>
          <w:headerReference w:type="even" r:id="rId17"/>
          <w:headerReference w:type="first" r:id="rId18"/>
          <w:footerReference w:type="default" r:id="rId19"/>
          <w:footerReference w:type="even" r:id="rId20"/>
          <w:footerReference w:type="first" r:id="rId21"/>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03  //  CURRICULUM ARCHITECTURE</w:t>
      </w:r>
    </w:p>
    <w:p>
      <w:pPr>
        <w:keepNext/>
        <w:spacing w:after="140"/>
      </w:pPr>
      <w:r>
        <w:rPr>
          <w:rFonts w:ascii="Aptos Display" w:hAnsi="Aptos Display"/>
          <w:b/>
          <w:color w:val="101216"/>
          <w:sz w:val="50"/>
        </w:rPr>
        <w:t>Breadth for the workforce. Depth for specialists.</w:t>
      </w:r>
    </w:p>
    <w:p>
      <w:pPr>
        <w:keepNext w:val="0"/>
        <w:spacing w:before="0" w:after="260"/>
      </w:pPr>
      <w:r>
        <w:rPr>
          <w:rFonts w:ascii="Aptos" w:hAnsi="Aptos"/>
          <w:b w:val="0"/>
          <w:i w:val="0"/>
          <w:color w:val="616873"/>
          <w:sz w:val="23"/>
        </w:rPr>
        <w:t>The catalog is large enough to support foundational onboarding, role development, cross-training, and advanced evidence-led practice without forcing every employee through one identical route.</w:t>
      </w:r>
    </w:p>
    <w:tbl>
      <w:tblPr>
        <w:tblW w:type="dxa" w:w="9360"/>
        <w:tblLayout w:type="fixed"/>
        <w:tblLook w:firstColumn="1" w:firstRow="1" w:lastColumn="0" w:lastRow="0" w:noHBand="0" w:noVBand="1" w:val="04A0"/>
        <w:jc w:val="left"/>
        <w:tblInd w:w="130" w:type="dxa"/>
      </w:tblPr>
      <w:tblGrid>
        <w:gridCol w:w="2600"/>
        <w:gridCol w:w="900"/>
        <w:gridCol w:w="1050"/>
        <w:gridCol w:w="4810"/>
      </w:tblGrid>
      <w:tr>
        <w:trPr>
          <w:tblHeader w:val="true"/>
        </w:trPr>
        <w:tc>
          <w:tcPr>
            <w:tcW w:type="dxa" w:w="2600"/>
            <w:tcMar>
              <w:top w:w="100" w:type="dxa"/>
              <w:start w:w="130" w:type="dxa"/>
              <w:bottom w:w="100" w:type="dxa"/>
              <w:end w:w="130" w:type="dxa"/>
            </w:tcMar>
            <w:vAlign w:val="center"/>
            <w:shd w:fill="101216"/>
          </w:tcPr>
          <w:p>
            <w:pPr>
              <w:spacing w:after="0"/>
            </w:pPr>
            <w:r>
              <w:rPr>
                <w:rFonts w:ascii="Aptos" w:hAnsi="Aptos"/>
                <w:b/>
                <w:color w:val="FFFFFF"/>
                <w:sz w:val="16"/>
              </w:rPr>
              <w:t>CURRICULUM</w:t>
            </w:r>
          </w:p>
        </w:tc>
        <w:tc>
          <w:tcPr>
            <w:tcW w:type="dxa" w:w="900"/>
            <w:tcMar>
              <w:top w:w="100" w:type="dxa"/>
              <w:start w:w="130" w:type="dxa"/>
              <w:bottom w:w="100" w:type="dxa"/>
              <w:end w:w="130" w:type="dxa"/>
            </w:tcMar>
            <w:vAlign w:val="center"/>
            <w:shd w:fill="101216"/>
          </w:tcPr>
          <w:p>
            <w:pPr>
              <w:spacing w:after="0"/>
            </w:pPr>
            <w:r>
              <w:rPr>
                <w:rFonts w:ascii="Aptos" w:hAnsi="Aptos"/>
                <w:b/>
                <w:color w:val="FFFFFF"/>
                <w:sz w:val="16"/>
              </w:rPr>
              <w:t>LESSONS</w:t>
            </w:r>
          </w:p>
        </w:tc>
        <w:tc>
          <w:tcPr>
            <w:tcW w:type="dxa" w:w="1050"/>
            <w:tcMar>
              <w:top w:w="100" w:type="dxa"/>
              <w:start w:w="130" w:type="dxa"/>
              <w:bottom w:w="100" w:type="dxa"/>
              <w:end w:w="130" w:type="dxa"/>
            </w:tcMar>
            <w:vAlign w:val="center"/>
            <w:shd w:fill="101216"/>
          </w:tcPr>
          <w:p>
            <w:pPr>
              <w:spacing w:after="0"/>
            </w:pPr>
            <w:r>
              <w:rPr>
                <w:rFonts w:ascii="Aptos" w:hAnsi="Aptos"/>
                <w:b/>
                <w:color w:val="FFFFFF"/>
                <w:sz w:val="16"/>
              </w:rPr>
              <w:t>TIME</w:t>
            </w:r>
          </w:p>
        </w:tc>
        <w:tc>
          <w:tcPr>
            <w:tcW w:type="dxa" w:w="4810"/>
            <w:tcMar>
              <w:top w:w="100" w:type="dxa"/>
              <w:start w:w="130" w:type="dxa"/>
              <w:bottom w:w="100" w:type="dxa"/>
              <w:end w:w="130" w:type="dxa"/>
            </w:tcMar>
            <w:vAlign w:val="center"/>
            <w:shd w:fill="101216"/>
          </w:tcPr>
          <w:p>
            <w:pPr>
              <w:spacing w:after="0"/>
            </w:pPr>
            <w:r>
              <w:rPr>
                <w:rFonts w:ascii="Aptos" w:hAnsi="Aptos"/>
                <w:b/>
                <w:color w:val="FFFFFF"/>
                <w:sz w:val="16"/>
              </w:rPr>
              <w:t>FOCUS</w:t>
            </w:r>
          </w:p>
        </w:tc>
      </w:tr>
      <w:tr>
        <w:tc>
          <w:tcPr>
            <w:tcW w:type="dxa" w:w="2600"/>
            <w:tcMar>
              <w:top w:w="100" w:type="dxa"/>
              <w:start w:w="130" w:type="dxa"/>
              <w:bottom w:w="100" w:type="dxa"/>
              <w:end w:w="130" w:type="dxa"/>
            </w:tcMar>
            <w:vAlign w:val="center"/>
          </w:tcPr>
          <w:p>
            <w:pPr>
              <w:spacing w:after="0"/>
            </w:pPr>
            <w:r>
              <w:rPr>
                <w:rFonts w:ascii="Aptos" w:hAnsi="Aptos"/>
                <w:color w:val="23272D"/>
                <w:sz w:val="18"/>
              </w:rPr>
              <w:t>Full-Spectrum Security Assessment</w:t>
            </w:r>
          </w:p>
        </w:tc>
        <w:tc>
          <w:tcPr>
            <w:tcW w:type="dxa" w:w="900"/>
            <w:tcMar>
              <w:top w:w="100" w:type="dxa"/>
              <w:start w:w="130" w:type="dxa"/>
              <w:bottom w:w="100" w:type="dxa"/>
              <w:end w:w="130" w:type="dxa"/>
            </w:tcMar>
            <w:vAlign w:val="center"/>
          </w:tcPr>
          <w:p>
            <w:pPr>
              <w:spacing w:after="0"/>
            </w:pPr>
            <w:r>
              <w:rPr>
                <w:rFonts w:ascii="Aptos" w:hAnsi="Aptos"/>
                <w:color w:val="23272D"/>
                <w:sz w:val="18"/>
              </w:rPr>
              <w:t>28</w:t>
            </w:r>
          </w:p>
        </w:tc>
        <w:tc>
          <w:tcPr>
            <w:tcW w:type="dxa" w:w="1050"/>
            <w:tcMar>
              <w:top w:w="100" w:type="dxa"/>
              <w:start w:w="130" w:type="dxa"/>
              <w:bottom w:w="100" w:type="dxa"/>
              <w:end w:w="130" w:type="dxa"/>
            </w:tcMar>
            <w:vAlign w:val="center"/>
          </w:tcPr>
          <w:p>
            <w:pPr>
              <w:spacing w:after="0"/>
            </w:pPr>
            <w:r>
              <w:rPr>
                <w:rFonts w:ascii="Aptos" w:hAnsi="Aptos"/>
                <w:color w:val="23272D"/>
                <w:sz w:val="18"/>
              </w:rPr>
              <w:t>24h</w:t>
            </w:r>
          </w:p>
        </w:tc>
        <w:tc>
          <w:tcPr>
            <w:tcW w:type="dxa" w:w="4810"/>
            <w:tcMar>
              <w:top w:w="100" w:type="dxa"/>
              <w:start w:w="130" w:type="dxa"/>
              <w:bottom w:w="100" w:type="dxa"/>
              <w:end w:w="130" w:type="dxa"/>
            </w:tcMar>
            <w:vAlign w:val="center"/>
          </w:tcPr>
          <w:p>
            <w:pPr>
              <w:spacing w:after="0"/>
            </w:pPr>
            <w:r>
              <w:rPr>
                <w:rFonts w:ascii="Aptos" w:hAnsi="Aptos"/>
                <w:color w:val="23272D"/>
                <w:sz w:val="18"/>
              </w:rPr>
              <w:t>Scope, networks, Windows, Linux, web, identity, cloud, containers, supply chain, evidence</w:t>
            </w:r>
          </w:p>
        </w:tc>
      </w:tr>
      <w:tr>
        <w:tc>
          <w:tcPr>
            <w:tcW w:type="dxa" w:w="2600"/>
            <w:shd w:fill="F2F4F6"/>
            <w:tcMar>
              <w:top w:w="100" w:type="dxa"/>
              <w:start w:w="130" w:type="dxa"/>
              <w:bottom w:w="100" w:type="dxa"/>
              <w:end w:w="130" w:type="dxa"/>
            </w:tcMar>
            <w:vAlign w:val="center"/>
          </w:tcPr>
          <w:p>
            <w:pPr>
              <w:spacing w:after="0"/>
            </w:pPr>
            <w:r>
              <w:rPr>
                <w:rFonts w:ascii="Aptos" w:hAnsi="Aptos"/>
                <w:color w:val="23272D"/>
                <w:sz w:val="18"/>
              </w:rPr>
              <w:t>Web + API Specialist</w:t>
            </w:r>
          </w:p>
        </w:tc>
        <w:tc>
          <w:tcPr>
            <w:tcW w:type="dxa" w:w="900"/>
            <w:shd w:fill="F2F4F6"/>
            <w:tcMar>
              <w:top w:w="100" w:type="dxa"/>
              <w:start w:w="130" w:type="dxa"/>
              <w:bottom w:w="100" w:type="dxa"/>
              <w:end w:w="130" w:type="dxa"/>
            </w:tcMar>
            <w:vAlign w:val="center"/>
          </w:tcPr>
          <w:p>
            <w:pPr>
              <w:spacing w:after="0"/>
            </w:pPr>
            <w:r>
              <w:rPr>
                <w:rFonts w:ascii="Aptos" w:hAnsi="Aptos"/>
                <w:color w:val="23272D"/>
                <w:sz w:val="18"/>
              </w:rPr>
              <w:t>27</w:t>
            </w:r>
          </w:p>
        </w:tc>
        <w:tc>
          <w:tcPr>
            <w:tcW w:type="dxa" w:w="1050"/>
            <w:shd w:fill="F2F4F6"/>
            <w:tcMar>
              <w:top w:w="100" w:type="dxa"/>
              <w:start w:w="130" w:type="dxa"/>
              <w:bottom w:w="100" w:type="dxa"/>
              <w:end w:w="130" w:type="dxa"/>
            </w:tcMar>
            <w:vAlign w:val="center"/>
          </w:tcPr>
          <w:p>
            <w:pPr>
              <w:spacing w:after="0"/>
            </w:pPr>
            <w:r>
              <w:rPr>
                <w:rFonts w:ascii="Aptos" w:hAnsi="Aptos"/>
                <w:color w:val="23272D"/>
                <w:sz w:val="18"/>
              </w:rPr>
              <w:t>24h45</w:t>
            </w:r>
          </w:p>
        </w:tc>
        <w:tc>
          <w:tcPr>
            <w:tcW w:type="dxa" w:w="4810"/>
            <w:shd w:fill="F2F4F6"/>
            <w:tcMar>
              <w:top w:w="100" w:type="dxa"/>
              <w:start w:w="130" w:type="dxa"/>
              <w:bottom w:w="100" w:type="dxa"/>
              <w:end w:w="130" w:type="dxa"/>
            </w:tcMar>
            <w:vAlign w:val="center"/>
          </w:tcPr>
          <w:p>
            <w:pPr>
              <w:spacing w:after="0"/>
            </w:pPr>
            <w:r>
              <w:rPr>
                <w:rFonts w:ascii="Aptos" w:hAnsi="Aptos"/>
                <w:color w:val="23272D"/>
                <w:sz w:val="18"/>
              </w:rPr>
              <w:t>Browser contexts, authorization, OAuth, JWT, GraphQL, business logic, races, framing, caching</w:t>
            </w:r>
          </w:p>
        </w:tc>
      </w:tr>
      <w:tr>
        <w:tc>
          <w:tcPr>
            <w:tcW w:type="dxa" w:w="2600"/>
            <w:tcMar>
              <w:top w:w="100" w:type="dxa"/>
              <w:start w:w="130" w:type="dxa"/>
              <w:bottom w:w="100" w:type="dxa"/>
              <w:end w:w="130" w:type="dxa"/>
            </w:tcMar>
            <w:vAlign w:val="center"/>
          </w:tcPr>
          <w:p>
            <w:pPr>
              <w:spacing w:after="0"/>
            </w:pPr>
            <w:r>
              <w:rPr>
                <w:rFonts w:ascii="Aptos" w:hAnsi="Aptos"/>
                <w:color w:val="23272D"/>
                <w:sz w:val="18"/>
              </w:rPr>
              <w:t>Enterprise Forge pathways</w:t>
            </w:r>
          </w:p>
        </w:tc>
        <w:tc>
          <w:tcPr>
            <w:tcW w:type="dxa" w:w="900"/>
            <w:tcMar>
              <w:top w:w="100" w:type="dxa"/>
              <w:start w:w="130" w:type="dxa"/>
              <w:bottom w:w="100" w:type="dxa"/>
              <w:end w:w="130" w:type="dxa"/>
            </w:tcMar>
            <w:vAlign w:val="center"/>
          </w:tcPr>
          <w:p>
            <w:pPr>
              <w:spacing w:after="0"/>
            </w:pPr>
            <w:r>
              <w:rPr>
                <w:rFonts w:ascii="Aptos" w:hAnsi="Aptos"/>
                <w:color w:val="23272D"/>
                <w:sz w:val="18"/>
              </w:rPr>
              <w:t>72</w:t>
            </w:r>
          </w:p>
        </w:tc>
        <w:tc>
          <w:tcPr>
            <w:tcW w:type="dxa" w:w="1050"/>
            <w:tcMar>
              <w:top w:w="100" w:type="dxa"/>
              <w:start w:w="130" w:type="dxa"/>
              <w:bottom w:w="100" w:type="dxa"/>
              <w:end w:w="130" w:type="dxa"/>
            </w:tcMar>
            <w:vAlign w:val="center"/>
          </w:tcPr>
          <w:p>
            <w:pPr>
              <w:spacing w:after="0"/>
            </w:pPr>
            <w:r>
              <w:rPr>
                <w:rFonts w:ascii="Aptos" w:hAnsi="Aptos"/>
                <w:color w:val="23272D"/>
                <w:sz w:val="18"/>
              </w:rPr>
              <w:t>72h</w:t>
            </w:r>
          </w:p>
        </w:tc>
        <w:tc>
          <w:tcPr>
            <w:tcW w:type="dxa" w:w="4810"/>
            <w:tcMar>
              <w:top w:w="100" w:type="dxa"/>
              <w:start w:w="130" w:type="dxa"/>
              <w:bottom w:w="100" w:type="dxa"/>
              <w:end w:w="130" w:type="dxa"/>
            </w:tcMar>
            <w:vAlign w:val="center"/>
          </w:tcPr>
          <w:p>
            <w:pPr>
              <w:spacing w:after="0"/>
            </w:pPr>
            <w:r>
              <w:rPr>
                <w:rFonts w:ascii="Aptos" w:hAnsi="Aptos"/>
                <w:color w:val="23272D"/>
                <w:sz w:val="18"/>
              </w:rPr>
              <w:t>AD, cloud engineering, detection, Linux, Kubernetes, software supply-chain defense</w:t>
            </w:r>
          </w:p>
        </w:tc>
      </w:tr>
      <w:tr>
        <w:tc>
          <w:tcPr>
            <w:tcW w:type="dxa" w:w="2600"/>
            <w:shd w:fill="F2F4F6"/>
            <w:tcMar>
              <w:top w:w="100" w:type="dxa"/>
              <w:start w:w="130" w:type="dxa"/>
              <w:bottom w:w="100" w:type="dxa"/>
              <w:end w:w="130" w:type="dxa"/>
            </w:tcMar>
            <w:vAlign w:val="center"/>
          </w:tcPr>
          <w:p>
            <w:pPr>
              <w:spacing w:after="0"/>
            </w:pPr>
            <w:r>
              <w:rPr>
                <w:rFonts w:ascii="Aptos" w:hAnsi="Aptos"/>
                <w:color w:val="23272D"/>
                <w:sz w:val="18"/>
              </w:rPr>
              <w:t>Total</w:t>
            </w:r>
          </w:p>
        </w:tc>
        <w:tc>
          <w:tcPr>
            <w:tcW w:type="dxa" w:w="900"/>
            <w:shd w:fill="F2F4F6"/>
            <w:tcMar>
              <w:top w:w="100" w:type="dxa"/>
              <w:start w:w="130" w:type="dxa"/>
              <w:bottom w:w="100" w:type="dxa"/>
              <w:end w:w="130" w:type="dxa"/>
            </w:tcMar>
            <w:vAlign w:val="center"/>
          </w:tcPr>
          <w:p>
            <w:pPr>
              <w:spacing w:after="0"/>
            </w:pPr>
            <w:r>
              <w:rPr>
                <w:rFonts w:ascii="Aptos" w:hAnsi="Aptos"/>
                <w:color w:val="23272D"/>
                <w:sz w:val="18"/>
              </w:rPr>
              <w:t>127</w:t>
            </w:r>
          </w:p>
        </w:tc>
        <w:tc>
          <w:tcPr>
            <w:tcW w:type="dxa" w:w="1050"/>
            <w:shd w:fill="F2F4F6"/>
            <w:tcMar>
              <w:top w:w="100" w:type="dxa"/>
              <w:start w:w="130" w:type="dxa"/>
              <w:bottom w:w="100" w:type="dxa"/>
              <w:end w:w="130" w:type="dxa"/>
            </w:tcMar>
            <w:vAlign w:val="center"/>
          </w:tcPr>
          <w:p>
            <w:pPr>
              <w:spacing w:after="0"/>
            </w:pPr>
            <w:r>
              <w:rPr>
                <w:rFonts w:ascii="Aptos" w:hAnsi="Aptos"/>
                <w:color w:val="23272D"/>
                <w:sz w:val="18"/>
              </w:rPr>
              <w:t>120h45</w:t>
            </w:r>
          </w:p>
        </w:tc>
        <w:tc>
          <w:tcPr>
            <w:tcW w:type="dxa" w:w="4810"/>
            <w:shd w:fill="F2F4F6"/>
            <w:tcMar>
              <w:top w:w="100" w:type="dxa"/>
              <w:start w:w="130" w:type="dxa"/>
              <w:bottom w:w="100" w:type="dxa"/>
              <w:end w:w="130" w:type="dxa"/>
            </w:tcMar>
            <w:vAlign w:val="center"/>
          </w:tcPr>
          <w:p>
            <w:pPr>
              <w:spacing w:after="0"/>
            </w:pPr>
            <w:r>
              <w:rPr>
                <w:rFonts w:ascii="Aptos" w:hAnsi="Aptos"/>
                <w:color w:val="23272D"/>
                <w:sz w:val="18"/>
              </w:rPr>
              <w:t>Eight complete Academy pathways</w:t>
            </w:r>
          </w:p>
        </w:tc>
      </w:tr>
    </w:tbl>
    <w:p>
      <w:pPr>
        <w:pStyle w:val="Heading2"/>
      </w:pPr>
      <w:r>
        <w:t>Six Mission OS routes</w:t>
      </w:r>
    </w:p>
    <w:p>
      <w:pPr>
        <w:pStyle w:val="ListBullet"/>
        <w:keepLines/>
      </w:pPr>
      <w:r>
        <w:rPr>
          <w:rFonts w:ascii="Aptos" w:hAnsi="Aptos"/>
          <w:color w:val="23272D"/>
          <w:sz w:val="21"/>
        </w:rPr>
        <w:t>Penetration Tester - validate attack paths and write evidence-led findings.</w:t>
      </w:r>
    </w:p>
    <w:p>
      <w:pPr>
        <w:pStyle w:val="ListBullet"/>
        <w:keepLines/>
      </w:pPr>
      <w:r>
        <w:rPr>
          <w:rFonts w:ascii="Aptos" w:hAnsi="Aptos"/>
          <w:color w:val="23272D"/>
          <w:sz w:val="21"/>
        </w:rPr>
        <w:t>Web &amp; API Specialist - identify and explain application trust failures.</w:t>
      </w:r>
    </w:p>
    <w:p>
      <w:pPr>
        <w:pStyle w:val="ListBullet"/>
        <w:keepLines/>
      </w:pPr>
      <w:r>
        <w:rPr>
          <w:rFonts w:ascii="Aptos" w:hAnsi="Aptos"/>
          <w:color w:val="23272D"/>
          <w:sz w:val="21"/>
        </w:rPr>
        <w:t>Identity Security - map authentication and delegated-control paths.</w:t>
      </w:r>
    </w:p>
    <w:p>
      <w:pPr>
        <w:pStyle w:val="ListBullet"/>
        <w:keepLines/>
      </w:pPr>
      <w:r>
        <w:rPr>
          <w:rFonts w:ascii="Aptos" w:hAnsi="Aptos"/>
          <w:color w:val="23272D"/>
          <w:sz w:val="21"/>
        </w:rPr>
        <w:t>Cloud Security - audit effective access and software provenance.</w:t>
      </w:r>
    </w:p>
    <w:p>
      <w:pPr>
        <w:pStyle w:val="ListBullet"/>
        <w:keepLines/>
      </w:pPr>
      <w:r>
        <w:rPr>
          <w:rFonts w:ascii="Aptos" w:hAnsi="Aptos"/>
          <w:color w:val="23272D"/>
          <w:sz w:val="21"/>
        </w:rPr>
        <w:t>Detection &amp; Response - turn telemetry into bounded incident conclusions.</w:t>
      </w:r>
    </w:p>
    <w:p>
      <w:pPr>
        <w:pStyle w:val="ListBullet"/>
        <w:keepLines/>
      </w:pPr>
      <w:r>
        <w:rPr>
          <w:rFonts w:ascii="Aptos" w:hAnsi="Aptos"/>
          <w:color w:val="23272D"/>
          <w:sz w:val="21"/>
        </w:rPr>
        <w:t>Security Engineer - build controls across application, identity, and cloud systems.</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BEDEF"/>
          </w:tcPr>
          <w:p>
            <w:pPr>
              <w:spacing w:after="60"/>
            </w:pPr>
            <w:r>
              <w:rPr>
                <w:rFonts w:ascii="Aptos" w:hAnsi="Aptos"/>
                <w:b/>
                <w:color w:val="E33E48"/>
                <w:sz w:val="16"/>
              </w:rPr>
              <w:t>ADVANCED SEQUENCE</w:t>
            </w:r>
          </w:p>
          <w:p>
            <w:pPr>
              <w:spacing w:after="0"/>
            </w:pPr>
            <w:r>
              <w:rPr>
                <w:rFonts w:ascii="Aptos" w:hAnsi="Aptos"/>
                <w:color w:val="23272D"/>
                <w:sz w:val="20"/>
              </w:rPr>
              <w:t>Eight hour-long deep dives inside the full-spectrum path cover Linux privilege graphs, Windows service control, Active Directory paths, Kerberos trust, segmentation and pivot analysis, SSRF, OAuth/OIDC, and CI/CD provenance.</w:t>
            </w:r>
          </w:p>
        </w:tc>
      </w:tr>
    </w:tbl>
    <w:p>
      <w:pPr>
        <w:spacing w:after="40"/>
      </w:pPr>
    </w:p>
    <w:p>
      <w:pPr>
        <w:sectPr>
          <w:headerReference w:type="default" r:id="rId23"/>
          <w:headerReference w:type="even" r:id="rId24"/>
          <w:headerReference w:type="first" r:id="rId25"/>
          <w:footerReference w:type="default" r:id="rId26"/>
          <w:footerReference w:type="even" r:id="rId27"/>
          <w:footerReference w:type="first" r:id="rId28"/>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04  //  LEARNING WORKFLOW</w:t>
      </w:r>
    </w:p>
    <w:p>
      <w:pPr>
        <w:keepNext/>
        <w:spacing w:after="140"/>
      </w:pPr>
      <w:r>
        <w:rPr>
          <w:rFonts w:ascii="Aptos Display" w:hAnsi="Aptos Display"/>
          <w:b/>
          <w:color w:val="101216"/>
          <w:sz w:val="50"/>
        </w:rPr>
        <w:t>Learn. Practice. Launch. Prove.</w:t>
      </w:r>
    </w:p>
    <w:p>
      <w:pPr>
        <w:keepNext w:val="0"/>
        <w:spacing w:before="0" w:after="260"/>
      </w:pPr>
      <w:r>
        <w:rPr>
          <w:rFonts w:ascii="Aptos" w:hAnsi="Aptos"/>
          <w:b w:val="0"/>
          <w:i w:val="0"/>
          <w:color w:val="616873"/>
          <w:sz w:val="23"/>
        </w:rPr>
        <w:t>Every activity identifies whether the operator is reading an example, making a scored decision, or working against a live disposable target. This removes the ambiguity common to terminal-styled courses.</w:t>
      </w:r>
    </w:p>
    <w:p>
      <w:pPr>
        <w:pStyle w:val="ListNumber"/>
        <w:keepLines/>
      </w:pPr>
      <w:r>
        <w:rPr>
          <w:rFonts w:ascii="Aptos" w:hAnsi="Aptos"/>
          <w:color w:val="23272D"/>
          <w:sz w:val="21"/>
        </w:rPr>
        <w:t>Diagnose - a twelve-scenario baseline measures six capability domains and persists to the local operator record.</w:t>
      </w:r>
    </w:p>
    <w:p>
      <w:pPr>
        <w:pStyle w:val="ListNumber"/>
        <w:keepLines/>
      </w:pPr>
      <w:r>
        <w:rPr>
          <w:rFonts w:ascii="Aptos" w:hAnsi="Aptos"/>
          <w:color w:val="23272D"/>
          <w:sz w:val="21"/>
        </w:rPr>
        <w:t>Select - Mission OS recommends a role route and calculates progress from completed work on the device.</w:t>
      </w:r>
    </w:p>
    <w:p>
      <w:pPr>
        <w:pStyle w:val="ListNumber"/>
        <w:keepLines/>
      </w:pPr>
      <w:r>
        <w:rPr>
          <w:rFonts w:ascii="Aptos" w:hAnsi="Aptos"/>
          <w:color w:val="23272D"/>
          <w:sz w:val="21"/>
        </w:rPr>
        <w:t>Learn - lessons combine mental models, commands, artifacts, workshops, validation checks, and primary references.</w:t>
      </w:r>
    </w:p>
    <w:p>
      <w:pPr>
        <w:pStyle w:val="ListNumber"/>
        <w:keepLines/>
      </w:pPr>
      <w:r>
        <w:rPr>
          <w:rFonts w:ascii="Aptos" w:hAnsi="Aptos"/>
          <w:color w:val="23272D"/>
          <w:sz w:val="21"/>
        </w:rPr>
        <w:t>Practice - Web Forge and Enterprise Forge require accepted live conditions rather than canned browser output.</w:t>
      </w:r>
    </w:p>
    <w:p>
      <w:pPr>
        <w:pStyle w:val="ListNumber"/>
        <w:keepLines/>
      </w:pPr>
      <w:r>
        <w:rPr>
          <w:rFonts w:ascii="Aptos" w:hAnsi="Aptos"/>
          <w:color w:val="23272D"/>
          <w:sz w:val="21"/>
        </w:rPr>
        <w:t>Launch - sealed Docker ranges open only after containment verification and provide an unrestricted in-range shell.</w:t>
      </w:r>
    </w:p>
    <w:p>
      <w:pPr>
        <w:pStyle w:val="ListNumber"/>
        <w:keepLines/>
      </w:pPr>
      <w:r>
        <w:rPr>
          <w:rFonts w:ascii="Aptos" w:hAnsi="Aptos"/>
          <w:color w:val="23272D"/>
          <w:sz w:val="21"/>
        </w:rPr>
        <w:t>Prove - after-action reviews score evidence coverage, independence, method discipline, and time discipline.</w:t>
      </w:r>
    </w:p>
    <w:p>
      <w:pPr>
        <w:pStyle w:val="Heading2"/>
      </w:pPr>
      <w:r>
        <w:t>Recorded learner signals</w:t>
      </w:r>
    </w:p>
    <w:tbl>
      <w:tblPr>
        <w:tblW w:type="dxa" w:w="9360"/>
        <w:jc w:val="left"/>
        <w:tblLayout w:type="fixed"/>
        <w:tblLook w:firstColumn="1" w:firstRow="1" w:lastColumn="0" w:lastRow="0" w:noHBand="0" w:noVBand="1" w:val="04A0"/>
        <w:tblInd w:w="130" w:type="dxa"/>
      </w:tblPr>
      <w:tblGrid>
        <w:gridCol w:w="2340"/>
        <w:gridCol w:w="2340"/>
        <w:gridCol w:w="2340"/>
        <w:gridCol w:w="2340"/>
      </w:tblGrid>
      <w:tr>
        <w:trPr>
          <w:tblHeader w:val="true"/>
        </w:trPr>
        <w:tc>
          <w:tcPr>
            <w:tcW w:type="dxa" w:w="2340"/>
            <w:tcMar>
              <w:top w:w="100" w:type="dxa"/>
              <w:start w:w="130" w:type="dxa"/>
              <w:bottom w:w="100" w:type="dxa"/>
              <w:end w:w="130" w:type="dxa"/>
            </w:tcMar>
            <w:vAlign w:val="center"/>
            <w:shd w:fill="2A2E34"/>
          </w:tcPr>
          <w:p>
            <w:pPr>
              <w:spacing w:after="40"/>
              <w:jc w:val="center"/>
            </w:pPr>
            <w:r>
              <w:rPr>
                <w:rFonts w:ascii="Aptos Display" w:hAnsi="Aptos Display"/>
                <w:b/>
                <w:color w:val="FFFFFF"/>
                <w:sz w:val="36"/>
              </w:rPr>
              <w:t>Attempts</w:t>
            </w:r>
          </w:p>
          <w:p>
            <w:pPr>
              <w:spacing w:after="0"/>
              <w:jc w:val="center"/>
            </w:pPr>
            <w:r>
              <w:rPr>
                <w:rFonts w:ascii="Aptos" w:hAnsi="Aptos"/>
                <w:b/>
                <w:color w:val="C7CBD1"/>
                <w:sz w:val="15"/>
              </w:rPr>
              <w:t>METHOD REPETITION</w:t>
            </w:r>
          </w:p>
        </w:tc>
        <w:tc>
          <w:tcPr>
            <w:tcW w:type="dxa" w:w="2340"/>
            <w:tcMar>
              <w:top w:w="100" w:type="dxa"/>
              <w:start w:w="130" w:type="dxa"/>
              <w:bottom w:w="100" w:type="dxa"/>
              <w:end w:w="130" w:type="dxa"/>
            </w:tcMar>
            <w:vAlign w:val="center"/>
            <w:shd w:fill="2A2E34"/>
          </w:tcPr>
          <w:p>
            <w:pPr>
              <w:spacing w:after="40"/>
              <w:jc w:val="center"/>
            </w:pPr>
            <w:r>
              <w:rPr>
                <w:rFonts w:ascii="Aptos Display" w:hAnsi="Aptos Display"/>
                <w:b/>
                <w:color w:val="FFFFFF"/>
                <w:sz w:val="36"/>
              </w:rPr>
              <w:t>Evidence</w:t>
            </w:r>
          </w:p>
          <w:p>
            <w:pPr>
              <w:spacing w:after="0"/>
              <w:jc w:val="center"/>
            </w:pPr>
            <w:r>
              <w:rPr>
                <w:rFonts w:ascii="Aptos" w:hAnsi="Aptos"/>
                <w:b/>
                <w:color w:val="C7CBD1"/>
                <w:sz w:val="15"/>
              </w:rPr>
              <w:t>ACCEPTED OUTCOMES</w:t>
            </w:r>
          </w:p>
        </w:tc>
        <w:tc>
          <w:tcPr>
            <w:tcW w:type="dxa" w:w="2340"/>
            <w:tcMar>
              <w:top w:w="100" w:type="dxa"/>
              <w:start w:w="130" w:type="dxa"/>
              <w:bottom w:w="100" w:type="dxa"/>
              <w:end w:w="130" w:type="dxa"/>
            </w:tcMar>
            <w:vAlign w:val="center"/>
            <w:shd w:fill="2A2E34"/>
          </w:tcPr>
          <w:p>
            <w:pPr>
              <w:spacing w:after="40"/>
              <w:jc w:val="center"/>
            </w:pPr>
            <w:r>
              <w:rPr>
                <w:rFonts w:ascii="Aptos Display" w:hAnsi="Aptos Display"/>
                <w:b/>
                <w:color w:val="FFFFFF"/>
                <w:sz w:val="36"/>
              </w:rPr>
              <w:t>Scores</w:t>
            </w:r>
          </w:p>
          <w:p>
            <w:pPr>
              <w:spacing w:after="0"/>
              <w:jc w:val="center"/>
            </w:pPr>
            <w:r>
              <w:rPr>
                <w:rFonts w:ascii="Aptos" w:hAnsi="Aptos"/>
                <w:b/>
                <w:color w:val="C7CBD1"/>
                <w:sz w:val="15"/>
              </w:rPr>
              <w:t>DECISION QUALITY</w:t>
            </w:r>
          </w:p>
        </w:tc>
        <w:tc>
          <w:tcPr>
            <w:tcW w:type="dxa" w:w="2340"/>
            <w:tcMar>
              <w:top w:w="100" w:type="dxa"/>
              <w:start w:w="130" w:type="dxa"/>
              <w:bottom w:w="100" w:type="dxa"/>
              <w:end w:w="130" w:type="dxa"/>
            </w:tcMar>
            <w:vAlign w:val="center"/>
            <w:shd w:fill="2A2E34"/>
          </w:tcPr>
          <w:p>
            <w:pPr>
              <w:spacing w:after="40"/>
              <w:jc w:val="center"/>
            </w:pPr>
            <w:r>
              <w:rPr>
                <w:rFonts w:ascii="Aptos Display" w:hAnsi="Aptos Display"/>
                <w:b/>
                <w:color w:val="FFFFFF"/>
                <w:sz w:val="36"/>
              </w:rPr>
              <w:t>Time</w:t>
            </w:r>
          </w:p>
          <w:p>
            <w:pPr>
              <w:spacing w:after="0"/>
              <w:jc w:val="center"/>
            </w:pPr>
            <w:r>
              <w:rPr>
                <w:rFonts w:ascii="Aptos" w:hAnsi="Aptos"/>
                <w:b/>
                <w:color w:val="C7CBD1"/>
                <w:sz w:val="15"/>
              </w:rPr>
              <w:t>GUIDED EFFORT</w:t>
            </w:r>
          </w:p>
        </w:tc>
      </w:tr>
    </w:tbl>
    <w:p>
      <w:pPr>
        <w:keepNext w:val="0"/>
        <w:spacing w:before="0" w:after="160"/>
      </w:pPr>
      <w:r>
        <w:rPr>
          <w:rFonts w:ascii="Aptos" w:hAnsi="Aptos"/>
          <w:b w:val="0"/>
          <w:i w:val="0"/>
          <w:color w:val="616873"/>
          <w:sz w:val="21"/>
        </w:rPr>
        <w:t>The local operator record retains completion, attempts, practical scores, capstone decisions, weekly minutes, achievements, and activity. Progress is calculated from completed work; DaemonCore does not seed fake readiness scores or public leaderboards.</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2F4F6"/>
          </w:tcPr>
          <w:p>
            <w:pPr>
              <w:spacing w:after="60"/>
            </w:pPr>
            <w:r>
              <w:rPr>
                <w:rFonts w:ascii="Aptos" w:hAnsi="Aptos"/>
                <w:b/>
                <w:color w:val="101216"/>
                <w:sz w:val="16"/>
              </w:rPr>
              <w:t>MANAGEMENT IMPLICATION</w:t>
            </w:r>
          </w:p>
          <w:p>
            <w:pPr>
              <w:spacing w:after="0"/>
            </w:pPr>
            <w:r>
              <w:rPr>
                <w:rFonts w:ascii="Aptos" w:hAnsi="Aptos"/>
                <w:color w:val="23272D"/>
                <w:sz w:val="20"/>
              </w:rPr>
              <w:t>Today, records are workstation-local and exportable. A centralized enterprise administration console, SSO/SCIM lifecycle, LMS synchronization, and organization-wide analytics are not represented as shipping capabilities.</w:t>
            </w:r>
          </w:p>
        </w:tc>
      </w:tr>
    </w:tbl>
    <w:p>
      <w:pPr>
        <w:spacing w:after="40"/>
      </w:pPr>
    </w:p>
    <w:p>
      <w:pPr>
        <w:sectPr>
          <w:headerReference w:type="default" r:id="rId29"/>
          <w:headerReference w:type="even" r:id="rId30"/>
          <w:headerReference w:type="first" r:id="rId31"/>
          <w:footerReference w:type="default" r:id="rId32"/>
          <w:footerReference w:type="even" r:id="rId33"/>
          <w:footerReference w:type="first" r:id="rId34"/>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05  //  PRACTICAL ENVIRONMENTS</w:t>
      </w:r>
    </w:p>
    <w:p>
      <w:pPr>
        <w:keepNext/>
        <w:spacing w:after="140"/>
      </w:pPr>
      <w:r>
        <w:rPr>
          <w:rFonts w:ascii="Aptos Display" w:hAnsi="Aptos Display"/>
          <w:b/>
          <w:color w:val="101216"/>
          <w:sz w:val="50"/>
        </w:rPr>
        <w:t>Practice against systems that can fail safely.</w:t>
      </w:r>
    </w:p>
    <w:p>
      <w:pPr>
        <w:keepNext w:val="0"/>
        <w:spacing w:before="0" w:after="260"/>
      </w:pPr>
      <w:r>
        <w:rPr>
          <w:rFonts w:ascii="Aptos" w:hAnsi="Aptos"/>
          <w:b w:val="0"/>
          <w:i w:val="0"/>
          <w:color w:val="616873"/>
          <w:sz w:val="23"/>
        </w:rPr>
        <w:t>DaemonCore separates high-intensity learning from public-network operations. The most permissive exercises stay inside disposable ranges with verified containment.</w:t>
      </w:r>
    </w:p>
    <w:tbl>
      <w:tblPr>
        <w:tblW w:type="dxa" w:w="9360"/>
        <w:jc w:val="left"/>
        <w:tblLayout w:type="fixed"/>
        <w:tblLook w:firstColumn="1" w:firstRow="1" w:lastColumn="0" w:lastRow="0" w:noHBand="0" w:noVBand="1" w:val="04A0"/>
        <w:tblInd w:w="130" w:type="dxa"/>
      </w:tblPr>
      <w:tblGrid>
        <w:gridCol w:w="2340"/>
        <w:gridCol w:w="2340"/>
        <w:gridCol w:w="2340"/>
        <w:gridCol w:w="2340"/>
      </w:tblGrid>
      <w:tr>
        <w:trPr>
          <w:tblHeader w:val="true"/>
        </w:trPr>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48</w:t>
            </w:r>
          </w:p>
          <w:p>
            <w:pPr>
              <w:spacing w:after="0"/>
              <w:jc w:val="center"/>
            </w:pPr>
            <w:r>
              <w:rPr>
                <w:rFonts w:ascii="Aptos" w:hAnsi="Aptos"/>
                <w:b/>
                <w:color w:val="C7CBD1"/>
                <w:sz w:val="15"/>
              </w:rPr>
              <w:t>ENTERPRISE CASES</w:t>
            </w:r>
          </w:p>
        </w:tc>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22</w:t>
            </w:r>
          </w:p>
          <w:p>
            <w:pPr>
              <w:spacing w:after="0"/>
              <w:jc w:val="center"/>
            </w:pPr>
            <w:r>
              <w:rPr>
                <w:rFonts w:ascii="Aptos" w:hAnsi="Aptos"/>
                <w:b/>
                <w:color w:val="C7CBD1"/>
                <w:sz w:val="15"/>
              </w:rPr>
              <w:t>WEB CONDITIONS</w:t>
            </w:r>
          </w:p>
        </w:tc>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7</w:t>
            </w:r>
          </w:p>
          <w:p>
            <w:pPr>
              <w:spacing w:after="0"/>
              <w:jc w:val="center"/>
            </w:pPr>
            <w:r>
              <w:rPr>
                <w:rFonts w:ascii="Aptos" w:hAnsi="Aptos"/>
                <w:b/>
                <w:color w:val="C7CBD1"/>
                <w:sz w:val="15"/>
              </w:rPr>
              <w:t>FIELD MISSIONS</w:t>
            </w:r>
          </w:p>
        </w:tc>
        <w:tc>
          <w:tcPr>
            <w:tcW w:type="dxa" w:w="2340"/>
            <w:tcMar>
              <w:top w:w="100" w:type="dxa"/>
              <w:start w:w="130" w:type="dxa"/>
              <w:bottom w:w="100" w:type="dxa"/>
              <w:end w:w="130" w:type="dxa"/>
            </w:tcMar>
            <w:vAlign w:val="center"/>
            <w:shd w:fill="101216"/>
          </w:tcPr>
          <w:p>
            <w:pPr>
              <w:spacing w:after="40"/>
              <w:jc w:val="center"/>
            </w:pPr>
            <w:r>
              <w:rPr>
                <w:rFonts w:ascii="Aptos Display" w:hAnsi="Aptos Display"/>
                <w:b/>
                <w:color w:val="FFFFFF"/>
                <w:sz w:val="36"/>
              </w:rPr>
              <w:t>3</w:t>
            </w:r>
          </w:p>
          <w:p>
            <w:pPr>
              <w:spacing w:after="0"/>
              <w:jc w:val="center"/>
            </w:pPr>
            <w:r>
              <w:rPr>
                <w:rFonts w:ascii="Aptos" w:hAnsi="Aptos"/>
                <w:b/>
                <w:color w:val="C7CBD1"/>
                <w:sz w:val="15"/>
              </w:rPr>
              <w:t>PRINCIPAL CAPSTONES</w:t>
            </w:r>
          </w:p>
        </w:tc>
      </w:tr>
    </w:tbl>
    <w:p>
      <w:pPr>
        <w:pStyle w:val="Heading2"/>
      </w:pPr>
      <w:r>
        <w:t>Sealed range contract</w:t>
      </w:r>
    </w:p>
    <w:p>
      <w:pPr>
        <w:pStyle w:val="ListBullet"/>
        <w:keepLines/>
      </w:pPr>
      <w:r>
        <w:rPr>
          <w:rFonts w:ascii="Aptos" w:hAnsi="Aptos"/>
          <w:color w:val="23272D"/>
          <w:sz w:val="21"/>
        </w:rPr>
        <w:t>Internal-only Docker networking with no target ports published to the host.</w:t>
      </w:r>
    </w:p>
    <w:p>
      <w:pPr>
        <w:pStyle w:val="ListBullet"/>
        <w:keepLines/>
      </w:pPr>
      <w:r>
        <w:rPr>
          <w:rFonts w:ascii="Aptos" w:hAnsi="Aptos"/>
          <w:color w:val="23272D"/>
          <w:sz w:val="21"/>
        </w:rPr>
        <w:t>Zero host mounts, no privileged containers, dropped capabilities, no-new-privileges, and resource ceilings.</w:t>
      </w:r>
    </w:p>
    <w:p>
      <w:pPr>
        <w:pStyle w:val="ListBullet"/>
        <w:keepLines/>
      </w:pPr>
      <w:r>
        <w:rPr>
          <w:rFonts w:ascii="Aptos" w:hAnsi="Aptos"/>
          <w:color w:val="23272D"/>
          <w:sz w:val="21"/>
        </w:rPr>
        <w:t>Verified internet-egress denial before the operator shell is released.</w:t>
      </w:r>
    </w:p>
    <w:p>
      <w:pPr>
        <w:pStyle w:val="ListBullet"/>
        <w:keepLines/>
      </w:pPr>
      <w:r>
        <w:rPr>
          <w:rFonts w:ascii="Aptos" w:hAnsi="Aptos"/>
          <w:color w:val="23272D"/>
          <w:sz w:val="21"/>
        </w:rPr>
        <w:t>Run-specific seeds, full-tree pack fingerprints, launch receipts, and SHA-256 evidence ledgers.</w:t>
      </w:r>
    </w:p>
    <w:p>
      <w:pPr>
        <w:pStyle w:val="ListBullet"/>
        <w:keepLines/>
      </w:pPr>
      <w:r>
        <w:rPr>
          <w:rFonts w:ascii="Aptos" w:hAnsi="Aptos"/>
          <w:color w:val="23272D"/>
          <w:sz w:val="21"/>
        </w:rPr>
        <w:t>Guided, Assisted, Blind, and Professional modes with different hint availability and scoring behavior.</w:t>
      </w:r>
    </w:p>
    <w:p>
      <w:pPr>
        <w:pStyle w:val="Heading2"/>
      </w:pPr>
      <w:r>
        <w:t>High-intensity resilience laboratory</w:t>
      </w:r>
    </w:p>
    <w:p>
      <w:pPr>
        <w:keepNext w:val="0"/>
        <w:spacing w:before="0" w:after="120"/>
      </w:pPr>
      <w:r>
        <w:rPr>
          <w:rFonts w:ascii="Aptos" w:hAnsi="Aptos"/>
          <w:b w:val="0"/>
          <w:i w:val="0"/>
          <w:color w:val="23272D"/>
        </w:rPr>
        <w:t>Inside the sealed Academy range, bounded breakpoint experiments can run at up to 500 requests per second, 100 concurrent workers, and a 30,000-request budget against a disposable target that cannot reach the host or internet. The purpose is saturation, breakpoint, guardrail, and recovery engineering - not anonymous public-network disruption.</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BEDEF"/>
          </w:tcPr>
          <w:p>
            <w:pPr>
              <w:spacing w:after="60"/>
            </w:pPr>
            <w:r>
              <w:rPr>
                <w:rFonts w:ascii="Aptos" w:hAnsi="Aptos"/>
                <w:b/>
                <w:color w:val="E33E48"/>
                <w:sz w:val="16"/>
              </w:rPr>
              <w:t>SAFETY BOUNDARY</w:t>
            </w:r>
          </w:p>
          <w:p>
            <w:pPr>
              <w:spacing w:after="0"/>
            </w:pPr>
            <w:r>
              <w:rPr>
                <w:rFonts w:ascii="Aptos" w:hAnsi="Aptos"/>
                <w:color w:val="23272D"/>
                <w:sz w:val="20"/>
              </w:rPr>
              <w:t>DaemonCore does not provide an arbitrary public-network shell, DDoS engine, or online password-guessing system. Unrestricted command execution and high-intensity exercises remain inside the sealed range.</w:t>
            </w:r>
          </w:p>
        </w:tc>
      </w:tr>
    </w:tbl>
    <w:p>
      <w:pPr>
        <w:spacing w:after="40"/>
      </w:pPr>
    </w:p>
    <w:p>
      <w:pPr>
        <w:sectPr>
          <w:headerReference w:type="default" r:id="rId35"/>
          <w:headerReference w:type="even" r:id="rId36"/>
          <w:headerReference w:type="first" r:id="rId37"/>
          <w:footerReference w:type="default" r:id="rId38"/>
          <w:footerReference w:type="even" r:id="rId39"/>
          <w:footerReference w:type="first" r:id="rId40"/>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06  //  FIELDOPS WAR ROOM</w:t>
      </w:r>
    </w:p>
    <w:p>
      <w:pPr>
        <w:keepNext/>
        <w:spacing w:after="140"/>
      </w:pPr>
      <w:r>
        <w:rPr>
          <w:rFonts w:ascii="Aptos Display" w:hAnsi="Aptos Display"/>
          <w:b/>
          <w:color w:val="101216"/>
          <w:sz w:val="50"/>
        </w:rPr>
        <w:t>Turn authorized assessments into reviewable operations.</w:t>
      </w:r>
    </w:p>
    <w:p>
      <w:pPr>
        <w:keepNext w:val="0"/>
        <w:spacing w:before="0" w:after="260"/>
      </w:pPr>
      <w:r>
        <w:rPr>
          <w:rFonts w:ascii="Aptos" w:hAnsi="Aptos"/>
          <w:b w:val="0"/>
          <w:i w:val="0"/>
          <w:color w:val="616873"/>
          <w:sz w:val="23"/>
        </w:rPr>
        <w:t>FieldOps is the professional layer for scoped diagnostics, multi-target campaigns, asset intelligence, sealed evidence, finding lifecycle, retesting, reporting, and bounded resilience work.</w:t>
      </w:r>
    </w:p>
    <w:p>
      <w:pPr>
        <w:spacing w:before="80" w:after="140"/>
        <w:jc w:val="center"/>
      </w:pPr>
      <w:r>
        <w:drawing>
          <wp:inline xmlns:a="http://schemas.openxmlformats.org/drawingml/2006/main" xmlns:pic="http://schemas.openxmlformats.org/drawingml/2006/picture">
            <wp:extent cx="5623560" cy="3206208"/>
            <wp:docPr id="3" name="Picture 3" descr="Professional team using the DaemonCore FieldOps War Room" title="Professional team using the DaemonCore FieldOps War Room"/>
            <wp:cNvGraphicFramePr>
              <a:graphicFrameLocks noChangeAspect="1"/>
            </wp:cNvGraphicFramePr>
            <a:graphic>
              <a:graphicData uri="http://schemas.openxmlformats.org/drawingml/2006/picture">
                <pic:pic>
                  <pic:nvPicPr>
                    <pic:cNvPr id="0" name="authorized-operations-team.png"/>
                    <pic:cNvPicPr/>
                  </pic:nvPicPr>
                  <pic:blipFill>
                    <a:blip r:embed="rId47"/>
                    <a:stretch>
                      <a:fillRect/>
                    </a:stretch>
                  </pic:blipFill>
                  <pic:spPr>
                    <a:xfrm>
                      <a:off x="0" y="0"/>
                      <a:ext cx="5623560" cy="3206208"/>
                    </a:xfrm>
                    <a:prstGeom prst="rect"/>
                  </pic:spPr>
                </pic:pic>
              </a:graphicData>
            </a:graphic>
          </wp:inline>
        </w:drawing>
      </w:r>
    </w:p>
    <w:p>
      <w:pPr>
        <w:keepNext w:val="0"/>
        <w:spacing w:before="0" w:after="180"/>
        <w:jc w:val="center"/>
      </w:pPr>
      <w:r>
        <w:rPr>
          <w:rFonts w:ascii="Aptos" w:hAnsi="Aptos"/>
          <w:b w:val="0"/>
          <w:i/>
          <w:color w:val="616873"/>
          <w:sz w:val="16"/>
        </w:rPr>
        <w:t>Campaign imagery. The shipping War Room presents real operator, permit, target, evidence, finding, campaign, and ledger state.</w:t>
      </w:r>
    </w:p>
    <w:tbl>
      <w:tblPr>
        <w:tblW w:type="dxa" w:w="9360"/>
        <w:tblLayout w:type="fixed"/>
        <w:tblLook w:firstColumn="1" w:firstRow="1" w:lastColumn="0" w:lastRow="0" w:noHBand="0" w:noVBand="1" w:val="04A0"/>
        <w:jc w:val="left"/>
        <w:tblInd w:w="130" w:type="dxa"/>
      </w:tblPr>
      <w:tblGrid>
        <w:gridCol w:w="2350"/>
        <w:gridCol w:w="7010"/>
      </w:tblGrid>
      <w:tr>
        <w:trPr>
          <w:tblHeader w:val="true"/>
        </w:trPr>
        <w:tc>
          <w:tcPr>
            <w:tcW w:type="dxa" w:w="2350"/>
            <w:tcMar>
              <w:top w:w="100" w:type="dxa"/>
              <w:start w:w="130" w:type="dxa"/>
              <w:bottom w:w="100" w:type="dxa"/>
              <w:end w:w="130" w:type="dxa"/>
            </w:tcMar>
            <w:vAlign w:val="center"/>
            <w:shd w:fill="101216"/>
          </w:tcPr>
          <w:p>
            <w:pPr>
              <w:spacing w:after="0"/>
            </w:pPr>
            <w:r>
              <w:rPr>
                <w:rFonts w:ascii="Aptos" w:hAnsi="Aptos"/>
                <w:b/>
                <w:color w:val="FFFFFF"/>
                <w:sz w:val="16"/>
              </w:rPr>
              <w:t>CAPABILITY</w:t>
            </w:r>
          </w:p>
        </w:tc>
        <w:tc>
          <w:tcPr>
            <w:tcW w:type="dxa" w:w="7010"/>
            <w:tcMar>
              <w:top w:w="100" w:type="dxa"/>
              <w:start w:w="130" w:type="dxa"/>
              <w:bottom w:w="100" w:type="dxa"/>
              <w:end w:w="130" w:type="dxa"/>
            </w:tcMar>
            <w:vAlign w:val="center"/>
            <w:shd w:fill="101216"/>
          </w:tcPr>
          <w:p>
            <w:pPr>
              <w:spacing w:after="0"/>
            </w:pPr>
            <w:r>
              <w:rPr>
                <w:rFonts w:ascii="Aptos" w:hAnsi="Aptos"/>
                <w:b/>
                <w:color w:val="FFFFFF"/>
                <w:sz w:val="16"/>
              </w:rPr>
              <w:t>ENTERPRISE VALUE</w:t>
            </w:r>
          </w:p>
        </w:tc>
      </w:tr>
      <w:tr>
        <w:tc>
          <w:tcPr>
            <w:tcW w:type="dxa" w:w="2350"/>
            <w:tcMar>
              <w:top w:w="100" w:type="dxa"/>
              <w:start w:w="130" w:type="dxa"/>
              <w:bottom w:w="100" w:type="dxa"/>
              <w:end w:w="130" w:type="dxa"/>
            </w:tcMar>
            <w:vAlign w:val="center"/>
          </w:tcPr>
          <w:p>
            <w:pPr>
              <w:spacing w:after="0"/>
            </w:pPr>
            <w:r>
              <w:rPr>
                <w:rFonts w:ascii="Aptos" w:hAnsi="Aptos"/>
                <w:color w:val="23272D"/>
                <w:sz w:val="18"/>
              </w:rPr>
              <w:t>Live command deck</w:t>
            </w:r>
          </w:p>
        </w:tc>
        <w:tc>
          <w:tcPr>
            <w:tcW w:type="dxa" w:w="7010"/>
            <w:tcMar>
              <w:top w:w="100" w:type="dxa"/>
              <w:start w:w="130" w:type="dxa"/>
              <w:bottom w:w="100" w:type="dxa"/>
              <w:end w:w="130" w:type="dxa"/>
            </w:tcMar>
            <w:vAlign w:val="center"/>
          </w:tcPr>
          <w:p>
            <w:pPr>
              <w:spacing w:after="0"/>
            </w:pPr>
            <w:r>
              <w:rPr>
                <w:rFonts w:ascii="Aptos" w:hAnsi="Aptos"/>
                <w:color w:val="23272D"/>
                <w:sz w:val="18"/>
              </w:rPr>
              <w:t>Selected permit window, signed operator, integrity state, surface coverage, campaigns, findings, and latest ledger activity</w:t>
            </w:r>
          </w:p>
        </w:tc>
      </w:tr>
      <w:tr>
        <w:tc>
          <w:tcPr>
            <w:tcW w:type="dxa" w:w="2350"/>
            <w:shd w:fill="F2F4F6"/>
            <w:tcMar>
              <w:top w:w="100" w:type="dxa"/>
              <w:start w:w="130" w:type="dxa"/>
              <w:bottom w:w="100" w:type="dxa"/>
              <w:end w:w="130" w:type="dxa"/>
            </w:tcMar>
            <w:vAlign w:val="center"/>
          </w:tcPr>
          <w:p>
            <w:pPr>
              <w:spacing w:after="0"/>
            </w:pPr>
            <w:r>
              <w:rPr>
                <w:rFonts w:ascii="Aptos" w:hAnsi="Aptos"/>
                <w:color w:val="23272D"/>
                <w:sz w:val="18"/>
              </w:rPr>
              <w:t>Campaign Engine</w:t>
            </w:r>
          </w:p>
        </w:tc>
        <w:tc>
          <w:tcPr>
            <w:tcW w:type="dxa" w:w="7010"/>
            <w:shd w:fill="F2F4F6"/>
            <w:tcMar>
              <w:top w:w="100" w:type="dxa"/>
              <w:start w:w="130" w:type="dxa"/>
              <w:bottom w:w="100" w:type="dxa"/>
              <w:end w:w="130" w:type="dxa"/>
            </w:tcMar>
            <w:vAlign w:val="center"/>
          </w:tcPr>
          <w:p>
            <w:pPr>
              <w:spacing w:after="0"/>
            </w:pPr>
            <w:r>
              <w:rPr>
                <w:rFonts w:ascii="Aptos" w:hAnsi="Aptos"/>
                <w:color w:val="23272D"/>
                <w:sz w:val="18"/>
              </w:rPr>
              <w:t>Repeatable multi-target Complete Assessment, Service Inventory, and Change Verification profiles</w:t>
            </w:r>
          </w:p>
        </w:tc>
      </w:tr>
      <w:tr>
        <w:tc>
          <w:tcPr>
            <w:tcW w:type="dxa" w:w="2350"/>
            <w:tcMar>
              <w:top w:w="100" w:type="dxa"/>
              <w:start w:w="130" w:type="dxa"/>
              <w:bottom w:w="100" w:type="dxa"/>
              <w:end w:w="130" w:type="dxa"/>
            </w:tcMar>
            <w:vAlign w:val="center"/>
          </w:tcPr>
          <w:p>
            <w:pPr>
              <w:spacing w:after="0"/>
            </w:pPr>
            <w:r>
              <w:rPr>
                <w:rFonts w:ascii="Aptos" w:hAnsi="Aptos"/>
                <w:color w:val="23272D"/>
                <w:sz w:val="18"/>
              </w:rPr>
              <w:t>Evidence vault</w:t>
            </w:r>
          </w:p>
        </w:tc>
        <w:tc>
          <w:tcPr>
            <w:tcW w:type="dxa" w:w="7010"/>
            <w:tcMar>
              <w:top w:w="100" w:type="dxa"/>
              <w:start w:w="130" w:type="dxa"/>
              <w:bottom w:w="100" w:type="dxa"/>
              <w:end w:w="130" w:type="dxa"/>
            </w:tcMar>
            <w:vAlign w:val="center"/>
          </w:tcPr>
          <w:p>
            <w:pPr>
              <w:spacing w:after="0"/>
            </w:pPr>
            <w:r>
              <w:rPr>
                <w:rFonts w:ascii="Aptos" w:hAnsi="Aptos"/>
                <w:color w:val="23272D"/>
                <w:sz w:val="18"/>
              </w:rPr>
              <w:t>Digest-sealed raw captures with target, timing, resolved addresses, and immutable source context</w:t>
            </w:r>
          </w:p>
        </w:tc>
      </w:tr>
      <w:tr>
        <w:tc>
          <w:tcPr>
            <w:tcW w:type="dxa" w:w="2350"/>
            <w:shd w:fill="F2F4F6"/>
            <w:tcMar>
              <w:top w:w="100" w:type="dxa"/>
              <w:start w:w="130" w:type="dxa"/>
              <w:bottom w:w="100" w:type="dxa"/>
              <w:end w:w="130" w:type="dxa"/>
            </w:tcMar>
            <w:vAlign w:val="center"/>
          </w:tcPr>
          <w:p>
            <w:pPr>
              <w:spacing w:after="0"/>
            </w:pPr>
            <w:r>
              <w:rPr>
                <w:rFonts w:ascii="Aptos" w:hAnsi="Aptos"/>
                <w:color w:val="23272D"/>
                <w:sz w:val="18"/>
              </w:rPr>
              <w:t>Findings and retests</w:t>
            </w:r>
          </w:p>
        </w:tc>
        <w:tc>
          <w:tcPr>
            <w:tcW w:type="dxa" w:w="7010"/>
            <w:shd w:fill="F2F4F6"/>
            <w:tcMar>
              <w:top w:w="100" w:type="dxa"/>
              <w:start w:w="130" w:type="dxa"/>
              <w:bottom w:w="100" w:type="dxa"/>
              <w:end w:w="130" w:type="dxa"/>
            </w:tcMar>
            <w:vAlign w:val="center"/>
          </w:tcPr>
          <w:p>
            <w:pPr>
              <w:spacing w:after="0"/>
            </w:pPr>
            <w:r>
              <w:rPr>
                <w:rFonts w:ascii="Aptos" w:hAnsi="Aptos"/>
                <w:color w:val="23272D"/>
                <w:sz w:val="18"/>
              </w:rPr>
              <w:t>Severity, impact, remediation, disposition, and closure backed by later evidence</w:t>
            </w:r>
          </w:p>
        </w:tc>
      </w:tr>
      <w:tr>
        <w:tc>
          <w:tcPr>
            <w:tcW w:type="dxa" w:w="2350"/>
            <w:tcMar>
              <w:top w:w="100" w:type="dxa"/>
              <w:start w:w="130" w:type="dxa"/>
              <w:bottom w:w="100" w:type="dxa"/>
              <w:end w:w="130" w:type="dxa"/>
            </w:tcMar>
            <w:vAlign w:val="center"/>
          </w:tcPr>
          <w:p>
            <w:pPr>
              <w:spacing w:after="0"/>
            </w:pPr>
            <w:r>
              <w:rPr>
                <w:rFonts w:ascii="Aptos" w:hAnsi="Aptos"/>
                <w:color w:val="23272D"/>
                <w:sz w:val="18"/>
              </w:rPr>
              <w:t>Exports</w:t>
            </w:r>
          </w:p>
        </w:tc>
        <w:tc>
          <w:tcPr>
            <w:tcW w:type="dxa" w:w="7010"/>
            <w:tcMar>
              <w:top w:w="100" w:type="dxa"/>
              <w:start w:w="130" w:type="dxa"/>
              <w:bottom w:w="100" w:type="dxa"/>
              <w:end w:w="130" w:type="dxa"/>
            </w:tcMar>
            <w:vAlign w:val="center"/>
          </w:tcPr>
          <w:p>
            <w:pPr>
              <w:spacing w:after="0"/>
            </w:pPr>
            <w:r>
              <w:rPr>
                <w:rFonts w:ascii="Aptos" w:hAnsi="Aptos"/>
                <w:color w:val="23272D"/>
                <w:sz w:val="18"/>
              </w:rPr>
              <w:t>Machine-readable case file plus printable professional assessment report</w:t>
            </w:r>
          </w:p>
        </w:tc>
      </w:tr>
    </w:tbl>
    <w:p>
      <w:pPr>
        <w:sectPr>
          <w:headerReference w:type="default" r:id="rId41"/>
          <w:headerReference w:type="even" r:id="rId42"/>
          <w:headerReference w:type="first" r:id="rId43"/>
          <w:footerReference w:type="default" r:id="rId44"/>
          <w:footerReference w:type="even" r:id="rId45"/>
          <w:footerReference w:type="first" r:id="rId46"/>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07  //  AUTHORIZATION AND GOVERNANCE</w:t>
      </w:r>
    </w:p>
    <w:p>
      <w:pPr>
        <w:keepNext/>
        <w:spacing w:after="140"/>
      </w:pPr>
      <w:r>
        <w:rPr>
          <w:rFonts w:ascii="Aptos Display" w:hAnsi="Aptos Display"/>
          <w:b/>
          <w:color w:val="101216"/>
          <w:sz w:val="50"/>
        </w:rPr>
        <w:t>Capability begins at a signed boundary.</w:t>
      </w:r>
    </w:p>
    <w:p>
      <w:pPr>
        <w:keepNext w:val="0"/>
        <w:spacing w:before="0" w:after="260"/>
      </w:pPr>
      <w:r>
        <w:rPr>
          <w:rFonts w:ascii="Aptos" w:hAnsi="Aptos"/>
          <w:b w:val="0"/>
          <w:i w:val="0"/>
          <w:color w:val="616873"/>
          <w:sz w:val="23"/>
        </w:rPr>
        <w:t>A FieldOps license unlocks the tool. It does not authorize a target. Execution requires an active engagement permit tied to a protected operator identity and exact scope.</w:t>
      </w:r>
    </w:p>
    <w:p>
      <w:pPr>
        <w:pStyle w:val="Heading2"/>
      </w:pPr>
      <w:r>
        <w:t>Every new permit binds</w:t>
      </w:r>
    </w:p>
    <w:p>
      <w:pPr>
        <w:pStyle w:val="ListBullet"/>
        <w:keepLines/>
      </w:pPr>
      <w:r>
        <w:rPr>
          <w:rFonts w:ascii="Aptos" w:hAnsi="Aptos"/>
          <w:color w:val="23272D"/>
          <w:sz w:val="21"/>
        </w:rPr>
        <w:t>Named operator, organization, role, device-key fingerprint, and Ed25519 public key.</w:t>
      </w:r>
    </w:p>
    <w:p>
      <w:pPr>
        <w:pStyle w:val="ListBullet"/>
        <w:keepLines/>
      </w:pPr>
      <w:r>
        <w:rPr>
          <w:rFonts w:ascii="Aptos" w:hAnsi="Aptos"/>
          <w:color w:val="23272D"/>
          <w:sz w:val="21"/>
        </w:rPr>
        <w:t>Client or system owner, approving authority, approver email, and rules-of-engagement reference.</w:t>
      </w:r>
    </w:p>
    <w:p>
      <w:pPr>
        <w:pStyle w:val="ListBullet"/>
        <w:keepLines/>
      </w:pPr>
      <w:r>
        <w:rPr>
          <w:rFonts w:ascii="Aptos" w:hAnsi="Aptos"/>
          <w:color w:val="23272D"/>
          <w:sz w:val="21"/>
        </w:rPr>
        <w:t>Observe, Validate, or Stress policy level; internal or external network boundary.</w:t>
      </w:r>
    </w:p>
    <w:p>
      <w:pPr>
        <w:pStyle w:val="ListBullet"/>
        <w:keepLines/>
      </w:pPr>
      <w:r>
        <w:rPr>
          <w:rFonts w:ascii="Aptos" w:hAnsi="Aptos"/>
          <w:color w:val="23272D"/>
          <w:sz w:val="21"/>
        </w:rPr>
        <w:t>Exact targets, declared TCP ports, valid-from time, valid-until time, and operator attestation.</w:t>
      </w:r>
    </w:p>
    <w:p>
      <w:pPr>
        <w:pStyle w:val="Heading2"/>
      </w:pPr>
      <w:r>
        <w:t>Execution safeguards</w:t>
      </w:r>
    </w:p>
    <w:tbl>
      <w:tblPr>
        <w:tblW w:type="dxa" w:w="9360"/>
        <w:tblLayout w:type="fixed"/>
        <w:tblLook w:firstColumn="1" w:firstRow="1" w:lastColumn="0" w:lastRow="0" w:noHBand="0" w:noVBand="1" w:val="04A0"/>
        <w:jc w:val="left"/>
        <w:tblInd w:w="130" w:type="dxa"/>
      </w:tblPr>
      <w:tblGrid>
        <w:gridCol w:w="2350"/>
        <w:gridCol w:w="7010"/>
      </w:tblGrid>
      <w:tr>
        <w:trPr>
          <w:tblHeader w:val="true"/>
        </w:trPr>
        <w:tc>
          <w:tcPr>
            <w:tcW w:type="dxa" w:w="2350"/>
            <w:tcMar>
              <w:top w:w="100" w:type="dxa"/>
              <w:start w:w="130" w:type="dxa"/>
              <w:bottom w:w="100" w:type="dxa"/>
              <w:end w:w="130" w:type="dxa"/>
            </w:tcMar>
            <w:vAlign w:val="center"/>
            <w:shd w:fill="101216"/>
          </w:tcPr>
          <w:p>
            <w:pPr>
              <w:spacing w:after="0"/>
            </w:pPr>
            <w:r>
              <w:rPr>
                <w:rFonts w:ascii="Aptos" w:hAnsi="Aptos"/>
                <w:b/>
                <w:color w:val="FFFFFF"/>
                <w:sz w:val="16"/>
              </w:rPr>
              <w:t>CONTROL</w:t>
            </w:r>
          </w:p>
        </w:tc>
        <w:tc>
          <w:tcPr>
            <w:tcW w:type="dxa" w:w="7010"/>
            <w:tcMar>
              <w:top w:w="100" w:type="dxa"/>
              <w:start w:w="130" w:type="dxa"/>
              <w:bottom w:w="100" w:type="dxa"/>
              <w:end w:w="130" w:type="dxa"/>
            </w:tcMar>
            <w:vAlign w:val="center"/>
            <w:shd w:fill="101216"/>
          </w:tcPr>
          <w:p>
            <w:pPr>
              <w:spacing w:after="0"/>
            </w:pPr>
            <w:r>
              <w:rPr>
                <w:rFonts w:ascii="Aptos" w:hAnsi="Aptos"/>
                <w:b/>
                <w:color w:val="FFFFFF"/>
                <w:sz w:val="16"/>
              </w:rPr>
              <w:t>BEHAVIOR</w:t>
            </w:r>
          </w:p>
        </w:tc>
      </w:tr>
      <w:tr>
        <w:tc>
          <w:tcPr>
            <w:tcW w:type="dxa" w:w="2350"/>
            <w:tcMar>
              <w:top w:w="100" w:type="dxa"/>
              <w:start w:w="130" w:type="dxa"/>
              <w:bottom w:w="100" w:type="dxa"/>
              <w:end w:w="130" w:type="dxa"/>
            </w:tcMar>
            <w:vAlign w:val="center"/>
          </w:tcPr>
          <w:p>
            <w:pPr>
              <w:spacing w:after="0"/>
            </w:pPr>
            <w:r>
              <w:rPr>
                <w:rFonts w:ascii="Aptos" w:hAnsi="Aptos"/>
                <w:color w:val="23272D"/>
                <w:sz w:val="18"/>
              </w:rPr>
              <w:t>Destination pinning</w:t>
            </w:r>
          </w:p>
        </w:tc>
        <w:tc>
          <w:tcPr>
            <w:tcW w:type="dxa" w:w="7010"/>
            <w:tcMar>
              <w:top w:w="100" w:type="dxa"/>
              <w:start w:w="130" w:type="dxa"/>
              <w:bottom w:w="100" w:type="dxa"/>
              <w:end w:w="130" w:type="dxa"/>
            </w:tcMar>
            <w:vAlign w:val="center"/>
          </w:tcPr>
          <w:p>
            <w:pPr>
              <w:spacing w:after="0"/>
            </w:pPr>
            <w:r>
              <w:rPr>
                <w:rFonts w:ascii="Aptos" w:hAnsi="Aptos"/>
                <w:color w:val="23272D"/>
                <w:sz w:val="18"/>
              </w:rPr>
              <w:t>Resolve and pin an exact address before an operation begins</w:t>
            </w:r>
          </w:p>
        </w:tc>
      </w:tr>
      <w:tr>
        <w:tc>
          <w:tcPr>
            <w:tcW w:type="dxa" w:w="2350"/>
            <w:shd w:fill="F2F4F6"/>
            <w:tcMar>
              <w:top w:w="100" w:type="dxa"/>
              <w:start w:w="130" w:type="dxa"/>
              <w:bottom w:w="100" w:type="dxa"/>
              <w:end w:w="130" w:type="dxa"/>
            </w:tcMar>
            <w:vAlign w:val="center"/>
          </w:tcPr>
          <w:p>
            <w:pPr>
              <w:spacing w:after="0"/>
            </w:pPr>
            <w:r>
              <w:rPr>
                <w:rFonts w:ascii="Aptos" w:hAnsi="Aptos"/>
                <w:color w:val="23272D"/>
                <w:sz w:val="18"/>
              </w:rPr>
              <w:t>Boundary rejection</w:t>
            </w:r>
          </w:p>
        </w:tc>
        <w:tc>
          <w:tcPr>
            <w:tcW w:type="dxa" w:w="7010"/>
            <w:shd w:fill="F2F4F6"/>
            <w:tcMar>
              <w:top w:w="100" w:type="dxa"/>
              <w:start w:w="130" w:type="dxa"/>
              <w:bottom w:w="100" w:type="dxa"/>
              <w:end w:w="130" w:type="dxa"/>
            </w:tcMar>
            <w:vAlign w:val="center"/>
          </w:tcPr>
          <w:p>
            <w:pPr>
              <w:spacing w:after="0"/>
            </w:pPr>
            <w:r>
              <w:rPr>
                <w:rFonts w:ascii="Aptos" w:hAnsi="Aptos"/>
                <w:color w:val="23272D"/>
                <w:sz w:val="18"/>
              </w:rPr>
              <w:t>Block loopback, link-local, multicast, reserved, and mixed-boundary results</w:t>
            </w:r>
          </w:p>
        </w:tc>
      </w:tr>
      <w:tr>
        <w:tc>
          <w:tcPr>
            <w:tcW w:type="dxa" w:w="2350"/>
            <w:tcMar>
              <w:top w:w="100" w:type="dxa"/>
              <w:start w:w="130" w:type="dxa"/>
              <w:bottom w:w="100" w:type="dxa"/>
              <w:end w:w="130" w:type="dxa"/>
            </w:tcMar>
            <w:vAlign w:val="center"/>
          </w:tcPr>
          <w:p>
            <w:pPr>
              <w:spacing w:after="0"/>
            </w:pPr>
            <w:r>
              <w:rPr>
                <w:rFonts w:ascii="Aptos" w:hAnsi="Aptos"/>
                <w:color w:val="23272D"/>
                <w:sz w:val="18"/>
              </w:rPr>
              <w:t>Tool bridge</w:t>
            </w:r>
          </w:p>
        </w:tc>
        <w:tc>
          <w:tcPr>
            <w:tcW w:type="dxa" w:w="7010"/>
            <w:tcMar>
              <w:top w:w="100" w:type="dxa"/>
              <w:start w:w="130" w:type="dxa"/>
              <w:bottom w:w="100" w:type="dxa"/>
              <w:end w:w="130" w:type="dxa"/>
            </w:tcMar>
            <w:vAlign w:val="center"/>
          </w:tcPr>
          <w:p>
            <w:pPr>
              <w:spacing w:after="0"/>
            </w:pPr>
            <w:r>
              <w:rPr>
                <w:rFonts w:ascii="Aptos" w:hAnsi="Aptos"/>
                <w:color w:val="23272D"/>
                <w:sz w:val="18"/>
              </w:rPr>
              <w:t>Pass only normalized pinned addresses and declared ports through direct process invocation</w:t>
            </w:r>
          </w:p>
        </w:tc>
      </w:tr>
      <w:tr>
        <w:tc>
          <w:tcPr>
            <w:tcW w:type="dxa" w:w="2350"/>
            <w:shd w:fill="F2F4F6"/>
            <w:tcMar>
              <w:top w:w="100" w:type="dxa"/>
              <w:start w:w="130" w:type="dxa"/>
              <w:bottom w:w="100" w:type="dxa"/>
              <w:end w:w="130" w:type="dxa"/>
            </w:tcMar>
            <w:vAlign w:val="center"/>
          </w:tcPr>
          <w:p>
            <w:pPr>
              <w:spacing w:after="0"/>
            </w:pPr>
            <w:r>
              <w:rPr>
                <w:rFonts w:ascii="Aptos" w:hAnsi="Aptos"/>
                <w:color w:val="23272D"/>
                <w:sz w:val="18"/>
              </w:rPr>
              <w:t>Evidence integrity</w:t>
            </w:r>
          </w:p>
        </w:tc>
        <w:tc>
          <w:tcPr>
            <w:tcW w:type="dxa" w:w="7010"/>
            <w:shd w:fill="F2F4F6"/>
            <w:tcMar>
              <w:top w:w="100" w:type="dxa"/>
              <w:start w:w="130" w:type="dxa"/>
              <w:bottom w:w="100" w:type="dxa"/>
              <w:end w:w="130" w:type="dxa"/>
            </w:tcMar>
            <w:vAlign w:val="center"/>
          </w:tcPr>
          <w:p>
            <w:pPr>
              <w:spacing w:after="0"/>
            </w:pPr>
            <w:r>
              <w:rPr>
                <w:rFonts w:ascii="Aptos" w:hAnsi="Aptos"/>
                <w:color w:val="23272D"/>
                <w:sz w:val="18"/>
              </w:rPr>
              <w:t>Hash captures and chain audit events; preserve completed and blocked actions</w:t>
            </w:r>
          </w:p>
        </w:tc>
      </w:tr>
      <w:tr>
        <w:tc>
          <w:tcPr>
            <w:tcW w:type="dxa" w:w="2350"/>
            <w:tcMar>
              <w:top w:w="100" w:type="dxa"/>
              <w:start w:w="130" w:type="dxa"/>
              <w:bottom w:w="100" w:type="dxa"/>
              <w:end w:w="130" w:type="dxa"/>
            </w:tcMar>
            <w:vAlign w:val="center"/>
          </w:tcPr>
          <w:p>
            <w:pPr>
              <w:spacing w:after="0"/>
            </w:pPr>
            <w:r>
              <w:rPr>
                <w:rFonts w:ascii="Aptos" w:hAnsi="Aptos"/>
                <w:color w:val="23272D"/>
                <w:sz w:val="18"/>
              </w:rPr>
              <w:t>Attribution</w:t>
            </w:r>
          </w:p>
        </w:tc>
        <w:tc>
          <w:tcPr>
            <w:tcW w:type="dxa" w:w="7010"/>
            <w:tcMar>
              <w:top w:w="100" w:type="dxa"/>
              <w:start w:w="130" w:type="dxa"/>
              <w:bottom w:w="100" w:type="dxa"/>
              <w:end w:w="130" w:type="dxa"/>
            </w:tcMar>
            <w:vAlign w:val="center"/>
          </w:tcPr>
          <w:p>
            <w:pPr>
              <w:spacing w:after="0"/>
            </w:pPr>
            <w:r>
              <w:rPr>
                <w:rFonts w:ascii="Aptos" w:hAnsi="Aptos"/>
                <w:color w:val="23272D"/>
                <w:sz w:val="18"/>
              </w:rPr>
              <w:t>Sign new permits and operation receipts with the protected device key</w:t>
            </w:r>
          </w:p>
        </w:tc>
      </w:tr>
    </w:tbl>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2F4F6"/>
          </w:tcPr>
          <w:p>
            <w:pPr>
              <w:spacing w:after="60"/>
            </w:pPr>
            <w:r>
              <w:rPr>
                <w:rFonts w:ascii="Aptos" w:hAnsi="Aptos"/>
                <w:b/>
                <w:color w:val="101216"/>
                <w:sz w:val="16"/>
              </w:rPr>
              <w:t>EVIDENCE CLAIM</w:t>
            </w:r>
          </w:p>
          <w:p>
            <w:pPr>
              <w:spacing w:after="0"/>
            </w:pPr>
            <w:r>
              <w:rPr>
                <w:rFonts w:ascii="Aptos" w:hAnsi="Aptos"/>
                <w:color w:val="23272D"/>
                <w:sz w:val="20"/>
              </w:rPr>
              <w:t>Device-key signatures provide attribution and tamper evidence. They do not independently prove that a typed identity or authorization statement is truthful; organizations remain responsible for validating identity and authority.</w:t>
            </w:r>
          </w:p>
        </w:tc>
      </w:tr>
    </w:tbl>
    <w:p>
      <w:pPr>
        <w:spacing w:after="40"/>
      </w:pPr>
    </w:p>
    <w:p>
      <w:pPr>
        <w:sectPr>
          <w:headerReference w:type="default" r:id="rId48"/>
          <w:headerReference w:type="even" r:id="rId49"/>
          <w:headerReference w:type="first" r:id="rId50"/>
          <w:footerReference w:type="default" r:id="rId51"/>
          <w:footerReference w:type="even" r:id="rId52"/>
          <w:footerReference w:type="first" r:id="rId53"/>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08  //  DEPLOYMENT AND PROCUREMENT FACTS</w:t>
      </w:r>
    </w:p>
    <w:p>
      <w:pPr>
        <w:keepNext/>
        <w:spacing w:after="140"/>
      </w:pPr>
      <w:r>
        <w:rPr>
          <w:rFonts w:ascii="Aptos Display" w:hAnsi="Aptos Display"/>
          <w:b/>
          <w:color w:val="101216"/>
          <w:sz w:val="50"/>
        </w:rPr>
        <w:t>A clear current-state view for enterprise evaluation.</w:t>
      </w:r>
    </w:p>
    <w:p>
      <w:pPr>
        <w:keepNext w:val="0"/>
        <w:spacing w:before="0" w:after="260"/>
      </w:pPr>
      <w:r>
        <w:rPr>
          <w:rFonts w:ascii="Aptos" w:hAnsi="Aptos"/>
          <w:b w:val="0"/>
          <w:i w:val="0"/>
          <w:color w:val="616873"/>
          <w:sz w:val="23"/>
        </w:rPr>
        <w:t>DaemonCore is a local-first desktop platform. The following status is stated directly so technical, security, and procurement teams can evaluate the product without implied certifications or hidden cloud dependencies.</w:t>
      </w:r>
    </w:p>
    <w:tbl>
      <w:tblPr>
        <w:tblW w:type="dxa" w:w="9360"/>
        <w:tblLayout w:type="fixed"/>
        <w:tblLook w:firstColumn="1" w:firstRow="1" w:lastColumn="0" w:lastRow="0" w:noHBand="0" w:noVBand="1" w:val="04A0"/>
        <w:jc w:val="left"/>
        <w:tblInd w:w="130" w:type="dxa"/>
      </w:tblPr>
      <w:tblGrid>
        <w:gridCol w:w="1500"/>
        <w:gridCol w:w="3200"/>
        <w:gridCol w:w="4660"/>
      </w:tblGrid>
      <w:tr>
        <w:trPr>
          <w:tblHeader w:val="true"/>
        </w:trPr>
        <w:tc>
          <w:tcPr>
            <w:tcW w:type="dxa" w:w="1500"/>
            <w:tcMar>
              <w:top w:w="100" w:type="dxa"/>
              <w:start w:w="130" w:type="dxa"/>
              <w:bottom w:w="100" w:type="dxa"/>
              <w:end w:w="130" w:type="dxa"/>
            </w:tcMar>
            <w:vAlign w:val="center"/>
            <w:shd w:fill="101216"/>
          </w:tcPr>
          <w:p>
            <w:pPr>
              <w:spacing w:after="0"/>
            </w:pPr>
            <w:r>
              <w:rPr>
                <w:rFonts w:ascii="Aptos" w:hAnsi="Aptos"/>
                <w:b/>
                <w:color w:val="FFFFFF"/>
                <w:sz w:val="16"/>
              </w:rPr>
              <w:t>AREA</w:t>
            </w:r>
          </w:p>
        </w:tc>
        <w:tc>
          <w:tcPr>
            <w:tcW w:type="dxa" w:w="3200"/>
            <w:tcMar>
              <w:top w:w="100" w:type="dxa"/>
              <w:start w:w="130" w:type="dxa"/>
              <w:bottom w:w="100" w:type="dxa"/>
              <w:end w:w="130" w:type="dxa"/>
            </w:tcMar>
            <w:vAlign w:val="center"/>
            <w:shd w:fill="101216"/>
          </w:tcPr>
          <w:p>
            <w:pPr>
              <w:spacing w:after="0"/>
            </w:pPr>
            <w:r>
              <w:rPr>
                <w:rFonts w:ascii="Aptos" w:hAnsi="Aptos"/>
                <w:b/>
                <w:color w:val="FFFFFF"/>
                <w:sz w:val="16"/>
              </w:rPr>
              <w:t>CURRENT STATE</w:t>
            </w:r>
          </w:p>
        </w:tc>
        <w:tc>
          <w:tcPr>
            <w:tcW w:type="dxa" w:w="4660"/>
            <w:tcMar>
              <w:top w:w="100" w:type="dxa"/>
              <w:start w:w="130" w:type="dxa"/>
              <w:bottom w:w="100" w:type="dxa"/>
              <w:end w:w="130" w:type="dxa"/>
            </w:tcMar>
            <w:vAlign w:val="center"/>
            <w:shd w:fill="101216"/>
          </w:tcPr>
          <w:p>
            <w:pPr>
              <w:spacing w:after="0"/>
            </w:pPr>
            <w:r>
              <w:rPr>
                <w:rFonts w:ascii="Aptos" w:hAnsi="Aptos"/>
                <w:b/>
                <w:color w:val="FFFFFF"/>
                <w:sz w:val="16"/>
              </w:rPr>
              <w:t>ENTERPRISE CONSIDERATION</w:t>
            </w:r>
          </w:p>
        </w:tc>
      </w:tr>
      <w:tr>
        <w:tc>
          <w:tcPr>
            <w:tcW w:type="dxa" w:w="1500"/>
            <w:tcMar>
              <w:top w:w="100" w:type="dxa"/>
              <w:start w:w="130" w:type="dxa"/>
              <w:bottom w:w="100" w:type="dxa"/>
              <w:end w:w="130" w:type="dxa"/>
            </w:tcMar>
            <w:vAlign w:val="center"/>
          </w:tcPr>
          <w:p>
            <w:pPr>
              <w:spacing w:after="0"/>
            </w:pPr>
            <w:r>
              <w:rPr>
                <w:rFonts w:ascii="Aptos" w:hAnsi="Aptos"/>
                <w:color w:val="23272D"/>
                <w:sz w:val="18"/>
              </w:rPr>
              <w:t>Windows</w:t>
            </w:r>
          </w:p>
        </w:tc>
        <w:tc>
          <w:tcPr>
            <w:tcW w:type="dxa" w:w="3200"/>
            <w:tcMar>
              <w:top w:w="100" w:type="dxa"/>
              <w:start w:w="130" w:type="dxa"/>
              <w:bottom w:w="100" w:type="dxa"/>
              <w:end w:w="130" w:type="dxa"/>
            </w:tcMar>
            <w:vAlign w:val="center"/>
          </w:tcPr>
          <w:p>
            <w:pPr>
              <w:spacing w:after="0"/>
            </w:pPr>
            <w:r>
              <w:rPr>
                <w:rFonts w:ascii="Aptos" w:hAnsi="Aptos"/>
                <w:color w:val="23272D"/>
                <w:sz w:val="18"/>
              </w:rPr>
              <w:t>Stable 6.0 installer for Windows 10/11 x64</w:t>
            </w:r>
          </w:p>
        </w:tc>
        <w:tc>
          <w:tcPr>
            <w:tcW w:type="dxa" w:w="4660"/>
            <w:tcMar>
              <w:top w:w="100" w:type="dxa"/>
              <w:start w:w="130" w:type="dxa"/>
              <w:bottom w:w="100" w:type="dxa"/>
              <w:end w:w="130" w:type="dxa"/>
            </w:tcMar>
            <w:vAlign w:val="center"/>
          </w:tcPr>
          <w:p>
            <w:pPr>
              <w:spacing w:after="0"/>
            </w:pPr>
            <w:r>
              <w:rPr>
                <w:rFonts w:ascii="Aptos" w:hAnsi="Aptos"/>
                <w:color w:val="23272D"/>
                <w:sz w:val="18"/>
              </w:rPr>
              <w:t>Installer is not yet Authenticode-signed; verify release SHA-256 checksums</w:t>
            </w:r>
          </w:p>
        </w:tc>
      </w:tr>
      <w:tr>
        <w:tc>
          <w:tcPr>
            <w:tcW w:type="dxa" w:w="1500"/>
            <w:shd w:fill="F2F4F6"/>
            <w:tcMar>
              <w:top w:w="100" w:type="dxa"/>
              <w:start w:w="130" w:type="dxa"/>
              <w:bottom w:w="100" w:type="dxa"/>
              <w:end w:w="130" w:type="dxa"/>
            </w:tcMar>
            <w:vAlign w:val="center"/>
          </w:tcPr>
          <w:p>
            <w:pPr>
              <w:spacing w:after="0"/>
            </w:pPr>
            <w:r>
              <w:rPr>
                <w:rFonts w:ascii="Aptos" w:hAnsi="Aptos"/>
                <w:color w:val="23272D"/>
                <w:sz w:val="18"/>
              </w:rPr>
              <w:t>Linux</w:t>
            </w:r>
          </w:p>
        </w:tc>
        <w:tc>
          <w:tcPr>
            <w:tcW w:type="dxa" w:w="3200"/>
            <w:shd w:fill="F2F4F6"/>
            <w:tcMar>
              <w:top w:w="100" w:type="dxa"/>
              <w:start w:w="130" w:type="dxa"/>
              <w:bottom w:w="100" w:type="dxa"/>
              <w:end w:w="130" w:type="dxa"/>
            </w:tcMar>
            <w:vAlign w:val="center"/>
          </w:tcPr>
          <w:p>
            <w:pPr>
              <w:spacing w:after="0"/>
            </w:pPr>
            <w:r>
              <w:rPr>
                <w:rFonts w:ascii="Aptos" w:hAnsi="Aptos"/>
                <w:color w:val="23272D"/>
                <w:sz w:val="18"/>
              </w:rPr>
              <w:t>x64 AppImage and Debian package beta</w:t>
            </w:r>
          </w:p>
        </w:tc>
        <w:tc>
          <w:tcPr>
            <w:tcW w:type="dxa" w:w="4660"/>
            <w:shd w:fill="F2F4F6"/>
            <w:tcMar>
              <w:top w:w="100" w:type="dxa"/>
              <w:start w:w="130" w:type="dxa"/>
              <w:bottom w:w="100" w:type="dxa"/>
              <w:end w:w="130" w:type="dxa"/>
            </w:tcMar>
            <w:vAlign w:val="center"/>
          </w:tcPr>
          <w:p>
            <w:pPr>
              <w:spacing w:after="0"/>
            </w:pPr>
            <w:r>
              <w:rPr>
                <w:rFonts w:ascii="Aptos" w:hAnsi="Aptos"/>
                <w:color w:val="23272D"/>
                <w:sz w:val="18"/>
              </w:rPr>
              <w:t>Ubuntu 22.04+ and Debian 12+ target; Linux remains separately labeled beta</w:t>
            </w:r>
          </w:p>
        </w:tc>
      </w:tr>
      <w:tr>
        <w:tc>
          <w:tcPr>
            <w:tcW w:type="dxa" w:w="1500"/>
            <w:tcMar>
              <w:top w:w="100" w:type="dxa"/>
              <w:start w:w="130" w:type="dxa"/>
              <w:bottom w:w="100" w:type="dxa"/>
              <w:end w:w="130" w:type="dxa"/>
            </w:tcMar>
            <w:vAlign w:val="center"/>
          </w:tcPr>
          <w:p>
            <w:pPr>
              <w:spacing w:after="0"/>
            </w:pPr>
            <w:r>
              <w:rPr>
                <w:rFonts w:ascii="Aptos" w:hAnsi="Aptos"/>
                <w:color w:val="23272D"/>
                <w:sz w:val="18"/>
              </w:rPr>
              <w:t>Runtime</w:t>
            </w:r>
          </w:p>
        </w:tc>
        <w:tc>
          <w:tcPr>
            <w:tcW w:type="dxa" w:w="3200"/>
            <w:tcMar>
              <w:top w:w="100" w:type="dxa"/>
              <w:start w:w="130" w:type="dxa"/>
              <w:bottom w:w="100" w:type="dxa"/>
              <w:end w:w="130" w:type="dxa"/>
            </w:tcMar>
            <w:vAlign w:val="center"/>
          </w:tcPr>
          <w:p>
            <w:pPr>
              <w:spacing w:after="0"/>
            </w:pPr>
            <w:r>
              <w:rPr>
                <w:rFonts w:ascii="Aptos" w:hAnsi="Aptos"/>
                <w:color w:val="23272D"/>
                <w:sz w:val="18"/>
              </w:rPr>
              <w:t>Docker Desktop on Windows; Docker Engine on Linux</w:t>
            </w:r>
          </w:p>
        </w:tc>
        <w:tc>
          <w:tcPr>
            <w:tcW w:type="dxa" w:w="4660"/>
            <w:tcMar>
              <w:top w:w="100" w:type="dxa"/>
              <w:start w:w="130" w:type="dxa"/>
              <w:bottom w:w="100" w:type="dxa"/>
              <w:end w:w="130" w:type="dxa"/>
            </w:tcMar>
            <w:vAlign w:val="center"/>
          </w:tcPr>
          <w:p>
            <w:pPr>
              <w:spacing w:after="0"/>
            </w:pPr>
            <w:r>
              <w:rPr>
                <w:rFonts w:ascii="Aptos" w:hAnsi="Aptos"/>
                <w:color w:val="23272D"/>
                <w:sz w:val="18"/>
              </w:rPr>
              <w:t>Dedicated workstation or managed VM recommended for live ranges</w:t>
            </w:r>
          </w:p>
        </w:tc>
      </w:tr>
      <w:tr>
        <w:tc>
          <w:tcPr>
            <w:tcW w:type="dxa" w:w="1500"/>
            <w:shd w:fill="F2F4F6"/>
            <w:tcMar>
              <w:top w:w="100" w:type="dxa"/>
              <w:start w:w="130" w:type="dxa"/>
              <w:bottom w:w="100" w:type="dxa"/>
              <w:end w:w="130" w:type="dxa"/>
            </w:tcMar>
            <w:vAlign w:val="center"/>
          </w:tcPr>
          <w:p>
            <w:pPr>
              <w:spacing w:after="0"/>
            </w:pPr>
            <w:r>
              <w:rPr>
                <w:rFonts w:ascii="Aptos" w:hAnsi="Aptos"/>
                <w:color w:val="23272D"/>
                <w:sz w:val="18"/>
              </w:rPr>
              <w:t>Secrets</w:t>
            </w:r>
          </w:p>
        </w:tc>
        <w:tc>
          <w:tcPr>
            <w:tcW w:type="dxa" w:w="3200"/>
            <w:shd w:fill="F2F4F6"/>
            <w:tcMar>
              <w:top w:w="100" w:type="dxa"/>
              <w:start w:w="130" w:type="dxa"/>
              <w:bottom w:w="100" w:type="dxa"/>
              <w:end w:w="130" w:type="dxa"/>
            </w:tcMar>
            <w:vAlign w:val="center"/>
          </w:tcPr>
          <w:p>
            <w:pPr>
              <w:spacing w:after="0"/>
            </w:pPr>
            <w:r>
              <w:rPr>
                <w:rFonts w:ascii="Aptos" w:hAnsi="Aptos"/>
                <w:color w:val="23272D"/>
                <w:sz w:val="18"/>
              </w:rPr>
              <w:t>OS-protected credentials; GNOME Keyring/KWallet on Linux</w:t>
            </w:r>
          </w:p>
        </w:tc>
        <w:tc>
          <w:tcPr>
            <w:tcW w:type="dxa" w:w="4660"/>
            <w:shd w:fill="F2F4F6"/>
            <w:tcMar>
              <w:top w:w="100" w:type="dxa"/>
              <w:start w:w="130" w:type="dxa"/>
              <w:bottom w:w="100" w:type="dxa"/>
              <w:end w:w="130" w:type="dxa"/>
            </w:tcMar>
            <w:vAlign w:val="center"/>
          </w:tcPr>
          <w:p>
            <w:pPr>
              <w:spacing w:after="0"/>
            </w:pPr>
            <w:r>
              <w:rPr>
                <w:rFonts w:ascii="Aptos" w:hAnsi="Aptos"/>
                <w:color w:val="23272D"/>
                <w:sz w:val="18"/>
              </w:rPr>
              <w:t>FieldOps blocks unencrypted Electron basic_text storage</w:t>
            </w:r>
          </w:p>
        </w:tc>
      </w:tr>
      <w:tr>
        <w:tc>
          <w:tcPr>
            <w:tcW w:type="dxa" w:w="1500"/>
            <w:tcMar>
              <w:top w:w="100" w:type="dxa"/>
              <w:start w:w="130" w:type="dxa"/>
              <w:bottom w:w="100" w:type="dxa"/>
              <w:end w:w="130" w:type="dxa"/>
            </w:tcMar>
            <w:vAlign w:val="center"/>
          </w:tcPr>
          <w:p>
            <w:pPr>
              <w:spacing w:after="0"/>
            </w:pPr>
            <w:r>
              <w:rPr>
                <w:rFonts w:ascii="Aptos" w:hAnsi="Aptos"/>
                <w:color w:val="23272D"/>
                <w:sz w:val="18"/>
              </w:rPr>
              <w:t>Records</w:t>
            </w:r>
          </w:p>
        </w:tc>
        <w:tc>
          <w:tcPr>
            <w:tcW w:type="dxa" w:w="3200"/>
            <w:tcMar>
              <w:top w:w="100" w:type="dxa"/>
              <w:start w:w="130" w:type="dxa"/>
              <w:bottom w:w="100" w:type="dxa"/>
              <w:end w:w="130" w:type="dxa"/>
            </w:tcMar>
            <w:vAlign w:val="center"/>
          </w:tcPr>
          <w:p>
            <w:pPr>
              <w:spacing w:after="0"/>
            </w:pPr>
            <w:r>
              <w:rPr>
                <w:rFonts w:ascii="Aptos" w:hAnsi="Aptos"/>
                <w:color w:val="23272D"/>
                <w:sz w:val="18"/>
              </w:rPr>
              <w:t>Local operator and engagement data with exports</w:t>
            </w:r>
          </w:p>
        </w:tc>
        <w:tc>
          <w:tcPr>
            <w:tcW w:type="dxa" w:w="4660"/>
            <w:tcMar>
              <w:top w:w="100" w:type="dxa"/>
              <w:start w:w="130" w:type="dxa"/>
              <w:bottom w:w="100" w:type="dxa"/>
              <w:end w:w="130" w:type="dxa"/>
            </w:tcMar>
            <w:vAlign w:val="center"/>
          </w:tcPr>
          <w:p>
            <w:pPr>
              <w:spacing w:after="0"/>
            </w:pPr>
            <w:r>
              <w:rPr>
                <w:rFonts w:ascii="Aptos" w:hAnsi="Aptos"/>
                <w:color w:val="23272D"/>
                <w:sz w:val="18"/>
              </w:rPr>
              <w:t>Define endpoint backup, retention, and case-handling policy</w:t>
            </w:r>
          </w:p>
        </w:tc>
      </w:tr>
      <w:tr>
        <w:tc>
          <w:tcPr>
            <w:tcW w:type="dxa" w:w="1500"/>
            <w:shd w:fill="F2F4F6"/>
            <w:tcMar>
              <w:top w:w="100" w:type="dxa"/>
              <w:start w:w="130" w:type="dxa"/>
              <w:bottom w:w="100" w:type="dxa"/>
              <w:end w:w="130" w:type="dxa"/>
            </w:tcMar>
            <w:vAlign w:val="center"/>
          </w:tcPr>
          <w:p>
            <w:pPr>
              <w:spacing w:after="0"/>
            </w:pPr>
            <w:r>
              <w:rPr>
                <w:rFonts w:ascii="Aptos" w:hAnsi="Aptos"/>
                <w:color w:val="23272D"/>
                <w:sz w:val="18"/>
              </w:rPr>
              <w:t>Administration</w:t>
            </w:r>
          </w:p>
        </w:tc>
        <w:tc>
          <w:tcPr>
            <w:tcW w:type="dxa" w:w="3200"/>
            <w:shd w:fill="F2F4F6"/>
            <w:tcMar>
              <w:top w:w="100" w:type="dxa"/>
              <w:start w:w="130" w:type="dxa"/>
              <w:bottom w:w="100" w:type="dxa"/>
              <w:end w:w="130" w:type="dxa"/>
            </w:tcMar>
            <w:vAlign w:val="center"/>
          </w:tcPr>
          <w:p>
            <w:pPr>
              <w:spacing w:after="0"/>
            </w:pPr>
            <w:r>
              <w:rPr>
                <w:rFonts w:ascii="Aptos" w:hAnsi="Aptos"/>
                <w:color w:val="23272D"/>
                <w:sz w:val="18"/>
              </w:rPr>
              <w:t>No shipping central tenant administration console</w:t>
            </w:r>
          </w:p>
        </w:tc>
        <w:tc>
          <w:tcPr>
            <w:tcW w:type="dxa" w:w="4660"/>
            <w:shd w:fill="F2F4F6"/>
            <w:tcMar>
              <w:top w:w="100" w:type="dxa"/>
              <w:start w:w="130" w:type="dxa"/>
              <w:bottom w:w="100" w:type="dxa"/>
              <w:end w:w="130" w:type="dxa"/>
            </w:tcMar>
            <w:vAlign w:val="center"/>
          </w:tcPr>
          <w:p>
            <w:pPr>
              <w:spacing w:after="0"/>
            </w:pPr>
            <w:r>
              <w:rPr>
                <w:rFonts w:ascii="Aptos" w:hAnsi="Aptos"/>
                <w:color w:val="23272D"/>
                <w:sz w:val="18"/>
              </w:rPr>
              <w:t>Plan workstation-based pilot; scope SSO, LMS, analytics, and fleet needs separately</w:t>
            </w:r>
          </w:p>
        </w:tc>
      </w:tr>
      <w:tr>
        <w:tc>
          <w:tcPr>
            <w:tcW w:type="dxa" w:w="1500"/>
            <w:tcMar>
              <w:top w:w="100" w:type="dxa"/>
              <w:start w:w="130" w:type="dxa"/>
              <w:bottom w:w="100" w:type="dxa"/>
              <w:end w:w="130" w:type="dxa"/>
            </w:tcMar>
            <w:vAlign w:val="center"/>
          </w:tcPr>
          <w:p>
            <w:pPr>
              <w:spacing w:after="0"/>
            </w:pPr>
            <w:r>
              <w:rPr>
                <w:rFonts w:ascii="Aptos" w:hAnsi="Aptos"/>
                <w:color w:val="23272D"/>
                <w:sz w:val="18"/>
              </w:rPr>
              <w:t>Assurance</w:t>
            </w:r>
          </w:p>
        </w:tc>
        <w:tc>
          <w:tcPr>
            <w:tcW w:type="dxa" w:w="3200"/>
            <w:tcMar>
              <w:top w:w="100" w:type="dxa"/>
              <w:start w:w="130" w:type="dxa"/>
              <w:bottom w:w="100" w:type="dxa"/>
              <w:end w:w="130" w:type="dxa"/>
            </w:tcMar>
            <w:vAlign w:val="center"/>
          </w:tcPr>
          <w:p>
            <w:pPr>
              <w:spacing w:after="0"/>
            </w:pPr>
            <w:r>
              <w:rPr>
                <w:rFonts w:ascii="Aptos" w:hAnsi="Aptos"/>
                <w:color w:val="23272D"/>
                <w:sz w:val="18"/>
              </w:rPr>
              <w:t>No SOC 2, ISO 27001, or FedRAMP claim is made</w:t>
            </w:r>
          </w:p>
        </w:tc>
        <w:tc>
          <w:tcPr>
            <w:tcW w:type="dxa" w:w="4660"/>
            <w:tcMar>
              <w:top w:w="100" w:type="dxa"/>
              <w:start w:w="130" w:type="dxa"/>
              <w:bottom w:w="100" w:type="dxa"/>
              <w:end w:w="130" w:type="dxa"/>
            </w:tcMar>
            <w:vAlign w:val="center"/>
          </w:tcPr>
          <w:p>
            <w:pPr>
              <w:spacing w:after="0"/>
            </w:pPr>
            <w:r>
              <w:rPr>
                <w:rFonts w:ascii="Aptos" w:hAnsi="Aptos"/>
                <w:color w:val="23272D"/>
                <w:sz w:val="18"/>
              </w:rPr>
              <w:t>Run normal vendor security and legal review before broad deployment</w:t>
            </w:r>
          </w:p>
        </w:tc>
      </w:tr>
    </w:tbl>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BEDEF"/>
          </w:tcPr>
          <w:p>
            <w:pPr>
              <w:spacing w:after="60"/>
            </w:pPr>
            <w:r>
              <w:rPr>
                <w:rFonts w:ascii="Aptos" w:hAnsi="Aptos"/>
                <w:b/>
                <w:color w:val="E33E48"/>
                <w:sz w:val="16"/>
              </w:rPr>
              <w:t>RECOMMENDED ENTERPRISE POSTURE</w:t>
            </w:r>
          </w:p>
          <w:p>
            <w:pPr>
              <w:spacing w:after="0"/>
            </w:pPr>
            <w:r>
              <w:rPr>
                <w:rFonts w:ascii="Aptos" w:hAnsi="Aptos"/>
                <w:color w:val="23272D"/>
                <w:sz w:val="20"/>
              </w:rPr>
              <w:t>Begin with a managed pilot on dedicated endpoints or virtual machines, validate the release checksum, constrain Docker access to trained operators, and treat exported learner and engagement records according to company retention policy.</w:t>
            </w:r>
          </w:p>
        </w:tc>
      </w:tr>
    </w:tbl>
    <w:p>
      <w:pPr>
        <w:spacing w:after="40"/>
      </w:pPr>
    </w:p>
    <w:p>
      <w:pPr>
        <w:sectPr>
          <w:headerReference w:type="default" r:id="rId54"/>
          <w:headerReference w:type="even" r:id="rId55"/>
          <w:headerReference w:type="first" r:id="rId56"/>
          <w:footerReference w:type="default" r:id="rId57"/>
          <w:footerReference w:type="even" r:id="rId58"/>
          <w:footerReference w:type="first" r:id="rId59"/>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09  //  SUGGESTED ENTERPRISE PILOT</w:t>
      </w:r>
    </w:p>
    <w:p>
      <w:pPr>
        <w:keepNext/>
        <w:spacing w:after="140"/>
      </w:pPr>
      <w:r>
        <w:rPr>
          <w:rFonts w:ascii="Aptos Display" w:hAnsi="Aptos Display"/>
          <w:b/>
          <w:color w:val="101216"/>
          <w:sz w:val="50"/>
        </w:rPr>
        <w:t>Prove the operating model before scaling it.</w:t>
      </w:r>
    </w:p>
    <w:p>
      <w:pPr>
        <w:keepNext w:val="0"/>
        <w:spacing w:before="0" w:after="260"/>
      </w:pPr>
      <w:r>
        <w:rPr>
          <w:rFonts w:ascii="Aptos" w:hAnsi="Aptos"/>
          <w:b w:val="0"/>
          <w:i w:val="0"/>
          <w:color w:val="616873"/>
          <w:sz w:val="23"/>
        </w:rPr>
        <w:t>A six-week pilot gives security, learning, endpoint, and procurement stakeholders enough evidence to judge instructional value, deployment fit, and governance requirements.</w:t>
      </w:r>
    </w:p>
    <w:tbl>
      <w:tblPr>
        <w:tblW w:type="dxa" w:w="9360"/>
        <w:tblLayout w:type="fixed"/>
        <w:tblLook w:firstColumn="1" w:firstRow="1" w:lastColumn="0" w:lastRow="0" w:noHBand="0" w:noVBand="1" w:val="04A0"/>
        <w:jc w:val="left"/>
        <w:tblInd w:w="130" w:type="dxa"/>
      </w:tblPr>
      <w:tblGrid>
        <w:gridCol w:w="850"/>
        <w:gridCol w:w="4810"/>
        <w:gridCol w:w="3700"/>
      </w:tblGrid>
      <w:tr>
        <w:trPr>
          <w:tblHeader w:val="true"/>
        </w:trPr>
        <w:tc>
          <w:tcPr>
            <w:tcW w:type="dxa" w:w="850"/>
            <w:tcMar>
              <w:top w:w="100" w:type="dxa"/>
              <w:start w:w="130" w:type="dxa"/>
              <w:bottom w:w="100" w:type="dxa"/>
              <w:end w:w="130" w:type="dxa"/>
            </w:tcMar>
            <w:vAlign w:val="center"/>
            <w:shd w:fill="101216"/>
          </w:tcPr>
          <w:p>
            <w:pPr>
              <w:spacing w:after="0"/>
            </w:pPr>
            <w:r>
              <w:rPr>
                <w:rFonts w:ascii="Aptos" w:hAnsi="Aptos"/>
                <w:b/>
                <w:color w:val="FFFFFF"/>
                <w:sz w:val="16"/>
              </w:rPr>
              <w:t>WEEK</w:t>
            </w:r>
          </w:p>
        </w:tc>
        <w:tc>
          <w:tcPr>
            <w:tcW w:type="dxa" w:w="4810"/>
            <w:tcMar>
              <w:top w:w="100" w:type="dxa"/>
              <w:start w:w="130" w:type="dxa"/>
              <w:bottom w:w="100" w:type="dxa"/>
              <w:end w:w="130" w:type="dxa"/>
            </w:tcMar>
            <w:vAlign w:val="center"/>
            <w:shd w:fill="101216"/>
          </w:tcPr>
          <w:p>
            <w:pPr>
              <w:spacing w:after="0"/>
            </w:pPr>
            <w:r>
              <w:rPr>
                <w:rFonts w:ascii="Aptos" w:hAnsi="Aptos"/>
                <w:b/>
                <w:color w:val="FFFFFF"/>
                <w:sz w:val="16"/>
              </w:rPr>
              <w:t>ACTIVITY</w:t>
            </w:r>
          </w:p>
        </w:tc>
        <w:tc>
          <w:tcPr>
            <w:tcW w:type="dxa" w:w="3700"/>
            <w:tcMar>
              <w:top w:w="100" w:type="dxa"/>
              <w:start w:w="130" w:type="dxa"/>
              <w:bottom w:w="100" w:type="dxa"/>
              <w:end w:w="130" w:type="dxa"/>
            </w:tcMar>
            <w:vAlign w:val="center"/>
            <w:shd w:fill="101216"/>
          </w:tcPr>
          <w:p>
            <w:pPr>
              <w:spacing w:after="0"/>
            </w:pPr>
            <w:r>
              <w:rPr>
                <w:rFonts w:ascii="Aptos" w:hAnsi="Aptos"/>
                <w:b/>
                <w:color w:val="FFFFFF"/>
                <w:sz w:val="16"/>
              </w:rPr>
              <w:t>EXIT EVIDENCE</w:t>
            </w:r>
          </w:p>
        </w:tc>
      </w:tr>
      <w:tr>
        <w:tc>
          <w:tcPr>
            <w:tcW w:type="dxa" w:w="850"/>
            <w:tcMar>
              <w:top w:w="100" w:type="dxa"/>
              <w:start w:w="130" w:type="dxa"/>
              <w:bottom w:w="100" w:type="dxa"/>
              <w:end w:w="130" w:type="dxa"/>
            </w:tcMar>
            <w:vAlign w:val="center"/>
          </w:tcPr>
          <w:p>
            <w:pPr>
              <w:spacing w:after="0"/>
            </w:pPr>
            <w:r>
              <w:rPr>
                <w:rFonts w:ascii="Aptos" w:hAnsi="Aptos"/>
                <w:color w:val="23272D"/>
                <w:sz w:val="18"/>
              </w:rPr>
              <w:t>0</w:t>
            </w:r>
          </w:p>
        </w:tc>
        <w:tc>
          <w:tcPr>
            <w:tcW w:type="dxa" w:w="4810"/>
            <w:tcMar>
              <w:top w:w="100" w:type="dxa"/>
              <w:start w:w="130" w:type="dxa"/>
              <w:bottom w:w="100" w:type="dxa"/>
              <w:end w:w="130" w:type="dxa"/>
            </w:tcMar>
            <w:vAlign w:val="center"/>
          </w:tcPr>
          <w:p>
            <w:pPr>
              <w:spacing w:after="0"/>
            </w:pPr>
            <w:r>
              <w:rPr>
                <w:rFonts w:ascii="Aptos" w:hAnsi="Aptos"/>
                <w:color w:val="23272D"/>
                <w:sz w:val="18"/>
              </w:rPr>
              <w:t>Security, legal, endpoint, and training readiness review</w:t>
            </w:r>
          </w:p>
        </w:tc>
        <w:tc>
          <w:tcPr>
            <w:tcW w:type="dxa" w:w="3700"/>
            <w:tcMar>
              <w:top w:w="100" w:type="dxa"/>
              <w:start w:w="130" w:type="dxa"/>
              <w:bottom w:w="100" w:type="dxa"/>
              <w:end w:w="130" w:type="dxa"/>
            </w:tcMar>
            <w:vAlign w:val="center"/>
          </w:tcPr>
          <w:p>
            <w:pPr>
              <w:spacing w:after="0"/>
            </w:pPr>
            <w:r>
              <w:rPr>
                <w:rFonts w:ascii="Aptos" w:hAnsi="Aptos"/>
                <w:color w:val="23272D"/>
                <w:sz w:val="18"/>
              </w:rPr>
              <w:t>Approved pilot boundary and endpoint standard</w:t>
            </w:r>
          </w:p>
        </w:tc>
      </w:tr>
      <w:tr>
        <w:tc>
          <w:tcPr>
            <w:tcW w:type="dxa" w:w="850"/>
            <w:shd w:fill="F2F4F6"/>
            <w:tcMar>
              <w:top w:w="100" w:type="dxa"/>
              <w:start w:w="130" w:type="dxa"/>
              <w:bottom w:w="100" w:type="dxa"/>
              <w:end w:w="130" w:type="dxa"/>
            </w:tcMar>
            <w:vAlign w:val="center"/>
          </w:tcPr>
          <w:p>
            <w:pPr>
              <w:spacing w:after="0"/>
            </w:pPr>
            <w:r>
              <w:rPr>
                <w:rFonts w:ascii="Aptos" w:hAnsi="Aptos"/>
                <w:color w:val="23272D"/>
                <w:sz w:val="18"/>
              </w:rPr>
              <w:t>1</w:t>
            </w:r>
          </w:p>
        </w:tc>
        <w:tc>
          <w:tcPr>
            <w:tcW w:type="dxa" w:w="4810"/>
            <w:shd w:fill="F2F4F6"/>
            <w:tcMar>
              <w:top w:w="100" w:type="dxa"/>
              <w:start w:w="130" w:type="dxa"/>
              <w:bottom w:w="100" w:type="dxa"/>
              <w:end w:w="130" w:type="dxa"/>
            </w:tcMar>
            <w:vAlign w:val="center"/>
          </w:tcPr>
          <w:p>
            <w:pPr>
              <w:spacing w:after="0"/>
            </w:pPr>
            <w:r>
              <w:rPr>
                <w:rFonts w:ascii="Aptos" w:hAnsi="Aptos"/>
                <w:color w:val="23272D"/>
                <w:sz w:val="18"/>
              </w:rPr>
              <w:t>Install, checksum validation, Docker preflight, operator onboarding</w:t>
            </w:r>
          </w:p>
        </w:tc>
        <w:tc>
          <w:tcPr>
            <w:tcW w:type="dxa" w:w="3700"/>
            <w:shd w:fill="F2F4F6"/>
            <w:tcMar>
              <w:top w:w="100" w:type="dxa"/>
              <w:start w:w="130" w:type="dxa"/>
              <w:bottom w:w="100" w:type="dxa"/>
              <w:end w:w="130" w:type="dxa"/>
            </w:tcMar>
            <w:vAlign w:val="center"/>
          </w:tcPr>
          <w:p>
            <w:pPr>
              <w:spacing w:after="0"/>
            </w:pPr>
            <w:r>
              <w:rPr>
                <w:rFonts w:ascii="Aptos" w:hAnsi="Aptos"/>
                <w:color w:val="23272D"/>
                <w:sz w:val="18"/>
              </w:rPr>
              <w:t>Working managed environment and named cohort</w:t>
            </w:r>
          </w:p>
        </w:tc>
      </w:tr>
      <w:tr>
        <w:tc>
          <w:tcPr>
            <w:tcW w:type="dxa" w:w="850"/>
            <w:tcMar>
              <w:top w:w="100" w:type="dxa"/>
              <w:start w:w="130" w:type="dxa"/>
              <w:bottom w:w="100" w:type="dxa"/>
              <w:end w:w="130" w:type="dxa"/>
            </w:tcMar>
            <w:vAlign w:val="center"/>
          </w:tcPr>
          <w:p>
            <w:pPr>
              <w:spacing w:after="0"/>
            </w:pPr>
            <w:r>
              <w:rPr>
                <w:rFonts w:ascii="Aptos" w:hAnsi="Aptos"/>
                <w:color w:val="23272D"/>
                <w:sz w:val="18"/>
              </w:rPr>
              <w:t>2</w:t>
            </w:r>
          </w:p>
        </w:tc>
        <w:tc>
          <w:tcPr>
            <w:tcW w:type="dxa" w:w="4810"/>
            <w:tcMar>
              <w:top w:w="100" w:type="dxa"/>
              <w:start w:w="130" w:type="dxa"/>
              <w:bottom w:w="100" w:type="dxa"/>
              <w:end w:w="130" w:type="dxa"/>
            </w:tcMar>
            <w:vAlign w:val="center"/>
          </w:tcPr>
          <w:p>
            <w:pPr>
              <w:spacing w:after="0"/>
            </w:pPr>
            <w:r>
              <w:rPr>
                <w:rFonts w:ascii="Aptos" w:hAnsi="Aptos"/>
                <w:color w:val="23272D"/>
                <w:sz w:val="18"/>
              </w:rPr>
              <w:t>Mission OS diagnostic and route assignment</w:t>
            </w:r>
          </w:p>
        </w:tc>
        <w:tc>
          <w:tcPr>
            <w:tcW w:type="dxa" w:w="3700"/>
            <w:tcMar>
              <w:top w:w="100" w:type="dxa"/>
              <w:start w:w="130" w:type="dxa"/>
              <w:bottom w:w="100" w:type="dxa"/>
              <w:end w:w="130" w:type="dxa"/>
            </w:tcMar>
            <w:vAlign w:val="center"/>
          </w:tcPr>
          <w:p>
            <w:pPr>
              <w:spacing w:after="0"/>
            </w:pPr>
            <w:r>
              <w:rPr>
                <w:rFonts w:ascii="Aptos" w:hAnsi="Aptos"/>
                <w:color w:val="23272D"/>
                <w:sz w:val="18"/>
              </w:rPr>
              <w:t>Baseline across six capability domains</w:t>
            </w:r>
          </w:p>
        </w:tc>
      </w:tr>
      <w:tr>
        <w:tc>
          <w:tcPr>
            <w:tcW w:type="dxa" w:w="850"/>
            <w:shd w:fill="F2F4F6"/>
            <w:tcMar>
              <w:top w:w="100" w:type="dxa"/>
              <w:start w:w="130" w:type="dxa"/>
              <w:bottom w:w="100" w:type="dxa"/>
              <w:end w:w="130" w:type="dxa"/>
            </w:tcMar>
            <w:vAlign w:val="center"/>
          </w:tcPr>
          <w:p>
            <w:pPr>
              <w:spacing w:after="0"/>
            </w:pPr>
            <w:r>
              <w:rPr>
                <w:rFonts w:ascii="Aptos" w:hAnsi="Aptos"/>
                <w:color w:val="23272D"/>
                <w:sz w:val="18"/>
              </w:rPr>
              <w:t>3</w:t>
            </w:r>
          </w:p>
        </w:tc>
        <w:tc>
          <w:tcPr>
            <w:tcW w:type="dxa" w:w="4810"/>
            <w:shd w:fill="F2F4F6"/>
            <w:tcMar>
              <w:top w:w="100" w:type="dxa"/>
              <w:start w:w="130" w:type="dxa"/>
              <w:bottom w:w="100" w:type="dxa"/>
              <w:end w:w="130" w:type="dxa"/>
            </w:tcMar>
            <w:vAlign w:val="center"/>
          </w:tcPr>
          <w:p>
            <w:pPr>
              <w:spacing w:after="0"/>
            </w:pPr>
            <w:r>
              <w:rPr>
                <w:rFonts w:ascii="Aptos" w:hAnsi="Aptos"/>
                <w:color w:val="23272D"/>
                <w:sz w:val="18"/>
              </w:rPr>
              <w:t>Role lessons, workshops, and specialist conditions</w:t>
            </w:r>
          </w:p>
        </w:tc>
        <w:tc>
          <w:tcPr>
            <w:tcW w:type="dxa" w:w="3700"/>
            <w:shd w:fill="F2F4F6"/>
            <w:tcMar>
              <w:top w:w="100" w:type="dxa"/>
              <w:start w:w="130" w:type="dxa"/>
              <w:bottom w:w="100" w:type="dxa"/>
              <w:end w:w="130" w:type="dxa"/>
            </w:tcMar>
            <w:vAlign w:val="center"/>
          </w:tcPr>
          <w:p>
            <w:pPr>
              <w:spacing w:after="0"/>
            </w:pPr>
            <w:r>
              <w:rPr>
                <w:rFonts w:ascii="Aptos" w:hAnsi="Aptos"/>
                <w:color w:val="23272D"/>
                <w:sz w:val="18"/>
              </w:rPr>
              <w:t>Completion, attempt, and accepted-condition sample</w:t>
            </w:r>
          </w:p>
        </w:tc>
      </w:tr>
      <w:tr>
        <w:tc>
          <w:tcPr>
            <w:tcW w:type="dxa" w:w="850"/>
            <w:tcMar>
              <w:top w:w="100" w:type="dxa"/>
              <w:start w:w="130" w:type="dxa"/>
              <w:bottom w:w="100" w:type="dxa"/>
              <w:end w:w="130" w:type="dxa"/>
            </w:tcMar>
            <w:vAlign w:val="center"/>
          </w:tcPr>
          <w:p>
            <w:pPr>
              <w:spacing w:after="0"/>
            </w:pPr>
            <w:r>
              <w:rPr>
                <w:rFonts w:ascii="Aptos" w:hAnsi="Aptos"/>
                <w:color w:val="23272D"/>
                <w:sz w:val="18"/>
              </w:rPr>
              <w:t>4</w:t>
            </w:r>
          </w:p>
        </w:tc>
        <w:tc>
          <w:tcPr>
            <w:tcW w:type="dxa" w:w="4810"/>
            <w:tcMar>
              <w:top w:w="100" w:type="dxa"/>
              <w:start w:w="130" w:type="dxa"/>
              <w:bottom w:w="100" w:type="dxa"/>
              <w:end w:w="130" w:type="dxa"/>
            </w:tcMar>
            <w:vAlign w:val="center"/>
          </w:tcPr>
          <w:p>
            <w:pPr>
              <w:spacing w:after="0"/>
            </w:pPr>
            <w:r>
              <w:rPr>
                <w:rFonts w:ascii="Aptos" w:hAnsi="Aptos"/>
                <w:color w:val="23272D"/>
                <w:sz w:val="18"/>
              </w:rPr>
              <w:t>Sealed range missions in Guided and Professional modes</w:t>
            </w:r>
          </w:p>
        </w:tc>
        <w:tc>
          <w:tcPr>
            <w:tcW w:type="dxa" w:w="3700"/>
            <w:tcMar>
              <w:top w:w="100" w:type="dxa"/>
              <w:start w:w="130" w:type="dxa"/>
              <w:bottom w:w="100" w:type="dxa"/>
              <w:end w:w="130" w:type="dxa"/>
            </w:tcMar>
            <w:vAlign w:val="center"/>
          </w:tcPr>
          <w:p>
            <w:pPr>
              <w:spacing w:after="0"/>
            </w:pPr>
            <w:r>
              <w:rPr>
                <w:rFonts w:ascii="Aptos" w:hAnsi="Aptos"/>
                <w:color w:val="23272D"/>
                <w:sz w:val="18"/>
              </w:rPr>
              <w:t>Evidence ledgers and after-action reviews</w:t>
            </w:r>
          </w:p>
        </w:tc>
      </w:tr>
      <w:tr>
        <w:tc>
          <w:tcPr>
            <w:tcW w:type="dxa" w:w="850"/>
            <w:shd w:fill="F2F4F6"/>
            <w:tcMar>
              <w:top w:w="100" w:type="dxa"/>
              <w:start w:w="130" w:type="dxa"/>
              <w:bottom w:w="100" w:type="dxa"/>
              <w:end w:w="130" w:type="dxa"/>
            </w:tcMar>
            <w:vAlign w:val="center"/>
          </w:tcPr>
          <w:p>
            <w:pPr>
              <w:spacing w:after="0"/>
            </w:pPr>
            <w:r>
              <w:rPr>
                <w:rFonts w:ascii="Aptos" w:hAnsi="Aptos"/>
                <w:color w:val="23272D"/>
                <w:sz w:val="18"/>
              </w:rPr>
              <w:t>5</w:t>
            </w:r>
          </w:p>
        </w:tc>
        <w:tc>
          <w:tcPr>
            <w:tcW w:type="dxa" w:w="4810"/>
            <w:shd w:fill="F2F4F6"/>
            <w:tcMar>
              <w:top w:w="100" w:type="dxa"/>
              <w:start w:w="130" w:type="dxa"/>
              <w:bottom w:w="100" w:type="dxa"/>
              <w:end w:w="130" w:type="dxa"/>
            </w:tcMar>
            <w:vAlign w:val="center"/>
          </w:tcPr>
          <w:p>
            <w:pPr>
              <w:spacing w:after="0"/>
            </w:pPr>
            <w:r>
              <w:rPr>
                <w:rFonts w:ascii="Aptos" w:hAnsi="Aptos"/>
                <w:color w:val="23272D"/>
                <w:sz w:val="18"/>
              </w:rPr>
              <w:t>Principal capstone and remediation cycle</w:t>
            </w:r>
          </w:p>
        </w:tc>
        <w:tc>
          <w:tcPr>
            <w:tcW w:type="dxa" w:w="3700"/>
            <w:shd w:fill="F2F4F6"/>
            <w:tcMar>
              <w:top w:w="100" w:type="dxa"/>
              <w:start w:w="130" w:type="dxa"/>
              <w:bottom w:w="100" w:type="dxa"/>
              <w:end w:w="130" w:type="dxa"/>
            </w:tcMar>
            <w:vAlign w:val="center"/>
          </w:tcPr>
          <w:p>
            <w:pPr>
              <w:spacing w:after="0"/>
            </w:pPr>
            <w:r>
              <w:rPr>
                <w:rFonts w:ascii="Aptos" w:hAnsi="Aptos"/>
                <w:color w:val="23272D"/>
                <w:sz w:val="18"/>
              </w:rPr>
              <w:t>Decision record, mastery gaps, reassigned work</w:t>
            </w:r>
          </w:p>
        </w:tc>
      </w:tr>
      <w:tr>
        <w:tc>
          <w:tcPr>
            <w:tcW w:type="dxa" w:w="850"/>
            <w:tcMar>
              <w:top w:w="100" w:type="dxa"/>
              <w:start w:w="130" w:type="dxa"/>
              <w:bottom w:w="100" w:type="dxa"/>
              <w:end w:w="130" w:type="dxa"/>
            </w:tcMar>
            <w:vAlign w:val="center"/>
          </w:tcPr>
          <w:p>
            <w:pPr>
              <w:spacing w:after="0"/>
            </w:pPr>
            <w:r>
              <w:rPr>
                <w:rFonts w:ascii="Aptos" w:hAnsi="Aptos"/>
                <w:color w:val="23272D"/>
                <w:sz w:val="18"/>
              </w:rPr>
              <w:t>6</w:t>
            </w:r>
          </w:p>
        </w:tc>
        <w:tc>
          <w:tcPr>
            <w:tcW w:type="dxa" w:w="4810"/>
            <w:tcMar>
              <w:top w:w="100" w:type="dxa"/>
              <w:start w:w="130" w:type="dxa"/>
              <w:bottom w:w="100" w:type="dxa"/>
              <w:end w:w="130" w:type="dxa"/>
            </w:tcMar>
            <w:vAlign w:val="center"/>
          </w:tcPr>
          <w:p>
            <w:pPr>
              <w:spacing w:after="0"/>
            </w:pPr>
            <w:r>
              <w:rPr>
                <w:rFonts w:ascii="Aptos" w:hAnsi="Aptos"/>
                <w:color w:val="23272D"/>
                <w:sz w:val="18"/>
              </w:rPr>
              <w:t>Optional FieldOps tabletop on organization-owned test assets</w:t>
            </w:r>
          </w:p>
        </w:tc>
        <w:tc>
          <w:tcPr>
            <w:tcW w:type="dxa" w:w="3700"/>
            <w:tcMar>
              <w:top w:w="100" w:type="dxa"/>
              <w:start w:w="130" w:type="dxa"/>
              <w:bottom w:w="100" w:type="dxa"/>
              <w:end w:w="130" w:type="dxa"/>
            </w:tcMar>
            <w:vAlign w:val="center"/>
          </w:tcPr>
          <w:p>
            <w:pPr>
              <w:spacing w:after="0"/>
            </w:pPr>
            <w:r>
              <w:rPr>
                <w:rFonts w:ascii="Aptos" w:hAnsi="Aptos"/>
                <w:color w:val="23272D"/>
                <w:sz w:val="18"/>
              </w:rPr>
              <w:t>Signed permit, sealed captures, findings, and report</w:t>
            </w:r>
          </w:p>
        </w:tc>
      </w:tr>
    </w:tbl>
    <w:p>
      <w:pPr>
        <w:pStyle w:val="Heading2"/>
      </w:pPr>
      <w:r>
        <w:t>Pilot success measures</w:t>
      </w:r>
    </w:p>
    <w:p>
      <w:pPr>
        <w:pStyle w:val="ListBullet"/>
        <w:keepLines/>
      </w:pPr>
      <w:r>
        <w:rPr>
          <w:rFonts w:ascii="Aptos" w:hAnsi="Aptos"/>
          <w:color w:val="23272D"/>
          <w:sz w:val="21"/>
        </w:rPr>
        <w:t>Operators can distinguish worked examples from live actions without instructor intervention.</w:t>
      </w:r>
    </w:p>
    <w:p>
      <w:pPr>
        <w:pStyle w:val="ListBullet"/>
        <w:keepLines/>
      </w:pPr>
      <w:r>
        <w:rPr>
          <w:rFonts w:ascii="Aptos" w:hAnsi="Aptos"/>
          <w:color w:val="23272D"/>
          <w:sz w:val="21"/>
        </w:rPr>
        <w:t>At least one accepted evidence chain is produced in each assigned practical domain.</w:t>
      </w:r>
    </w:p>
    <w:p>
      <w:pPr>
        <w:pStyle w:val="ListBullet"/>
        <w:keepLines/>
      </w:pPr>
      <w:r>
        <w:rPr>
          <w:rFonts w:ascii="Aptos" w:hAnsi="Aptos"/>
          <w:color w:val="23272D"/>
          <w:sz w:val="21"/>
        </w:rPr>
        <w:t>Participants improve decision quality or reduce guidance use across repeat attempts.</w:t>
      </w:r>
    </w:p>
    <w:p>
      <w:pPr>
        <w:pStyle w:val="ListBullet"/>
        <w:keepLines/>
      </w:pPr>
      <w:r>
        <w:rPr>
          <w:rFonts w:ascii="Aptos" w:hAnsi="Aptos"/>
          <w:color w:val="23272D"/>
          <w:sz w:val="21"/>
        </w:rPr>
        <w:t>Endpoint, Docker, keyring, export, and upgrade procedures meet internal operational expectations.</w:t>
      </w:r>
    </w:p>
    <w:p>
      <w:pPr>
        <w:pStyle w:val="ListBullet"/>
        <w:keepLines/>
      </w:pPr>
      <w:r>
        <w:rPr>
          <w:rFonts w:ascii="Aptos" w:hAnsi="Aptos"/>
          <w:color w:val="23272D"/>
          <w:sz w:val="21"/>
        </w:rPr>
        <w:t>Security leadership can identify which centralized features are required before a larger rollout.</w:t>
      </w:r>
    </w:p>
    <w:p>
      <w:pPr>
        <w:sectPr>
          <w:headerReference w:type="default" r:id="rId60"/>
          <w:headerReference w:type="even" r:id="rId61"/>
          <w:headerReference w:type="first" r:id="rId62"/>
          <w:footerReference w:type="default" r:id="rId63"/>
          <w:footerReference w:type="even" r:id="rId64"/>
          <w:footerReference w:type="first" r:id="rId65"/>
          <w:pgSz w:w="12240" w:h="15840"/>
          <w:pgMar w:top="1080" w:right="1440" w:bottom="1037" w:left="1440" w:header="461" w:footer="461" w:gutter="0"/>
          <w:cols w:space="720"/>
          <w:docGrid w:linePitch="360"/>
        </w:sectPr>
      </w:pPr>
    </w:p>
    <w:p>
      <w:pPr>
        <w:keepNext/>
        <w:spacing w:before="0" w:after="100"/>
      </w:pPr>
      <w:r>
        <w:rPr>
          <w:rFonts w:ascii="Aptos" w:hAnsi="Aptos"/>
          <w:b/>
          <w:i w:val="0"/>
          <w:color w:val="E33E48"/>
          <w:sz w:val="17"/>
        </w:rPr>
        <w:t>10  //  STAKEHOLDER VALUE</w:t>
      </w:r>
    </w:p>
    <w:p>
      <w:pPr>
        <w:keepNext/>
        <w:spacing w:after="140"/>
      </w:pPr>
      <w:r>
        <w:rPr>
          <w:rFonts w:ascii="Aptos Display" w:hAnsi="Aptos Display"/>
          <w:b/>
          <w:color w:val="101216"/>
          <w:sz w:val="50"/>
        </w:rPr>
        <w:t>One platform, different reasons to care.</w:t>
      </w:r>
    </w:p>
    <w:p>
      <w:pPr>
        <w:keepNext w:val="0"/>
        <w:spacing w:before="0" w:after="260"/>
      </w:pPr>
      <w:r>
        <w:rPr>
          <w:rFonts w:ascii="Aptos" w:hAnsi="Aptos"/>
          <w:b w:val="0"/>
          <w:i w:val="0"/>
          <w:color w:val="616873"/>
          <w:sz w:val="23"/>
        </w:rPr>
        <w:t>The enterprise decision is not only a training purchase. It touches capability development, endpoint operations, evidence handling, authorized testing, and procurement readiness.</w:t>
      </w:r>
    </w:p>
    <w:tbl>
      <w:tblPr>
        <w:tblW w:type="dxa" w:w="9360"/>
        <w:tblLayout w:type="fixed"/>
        <w:tblLook w:firstColumn="1" w:firstRow="1" w:lastColumn="0" w:lastRow="0" w:noHBand="0" w:noVBand="1" w:val="04A0"/>
        <w:jc w:val="left"/>
        <w:tblInd w:w="130" w:type="dxa"/>
      </w:tblPr>
      <w:tblGrid>
        <w:gridCol w:w="1900"/>
        <w:gridCol w:w="4200"/>
        <w:gridCol w:w="3260"/>
      </w:tblGrid>
      <w:tr>
        <w:trPr>
          <w:tblHeader w:val="true"/>
        </w:trPr>
        <w:tc>
          <w:tcPr>
            <w:tcW w:type="dxa" w:w="1900"/>
            <w:tcMar>
              <w:top w:w="100" w:type="dxa"/>
              <w:start w:w="130" w:type="dxa"/>
              <w:bottom w:w="100" w:type="dxa"/>
              <w:end w:w="130" w:type="dxa"/>
            </w:tcMar>
            <w:vAlign w:val="center"/>
            <w:shd w:fill="101216"/>
          </w:tcPr>
          <w:p>
            <w:pPr>
              <w:spacing w:after="0"/>
            </w:pPr>
            <w:r>
              <w:rPr>
                <w:rFonts w:ascii="Aptos" w:hAnsi="Aptos"/>
                <w:b/>
                <w:color w:val="FFFFFF"/>
                <w:sz w:val="16"/>
              </w:rPr>
              <w:t>STAKEHOLDER</w:t>
            </w:r>
          </w:p>
        </w:tc>
        <w:tc>
          <w:tcPr>
            <w:tcW w:type="dxa" w:w="4200"/>
            <w:tcMar>
              <w:top w:w="100" w:type="dxa"/>
              <w:start w:w="130" w:type="dxa"/>
              <w:bottom w:w="100" w:type="dxa"/>
              <w:end w:w="130" w:type="dxa"/>
            </w:tcMar>
            <w:vAlign w:val="center"/>
            <w:shd w:fill="101216"/>
          </w:tcPr>
          <w:p>
            <w:pPr>
              <w:spacing w:after="0"/>
            </w:pPr>
            <w:r>
              <w:rPr>
                <w:rFonts w:ascii="Aptos" w:hAnsi="Aptos"/>
                <w:b/>
                <w:color w:val="FFFFFF"/>
                <w:sz w:val="16"/>
              </w:rPr>
              <w:t>PRIMARY VALUE</w:t>
            </w:r>
          </w:p>
        </w:tc>
        <w:tc>
          <w:tcPr>
            <w:tcW w:type="dxa" w:w="3260"/>
            <w:tcMar>
              <w:top w:w="100" w:type="dxa"/>
              <w:start w:w="130" w:type="dxa"/>
              <w:bottom w:w="100" w:type="dxa"/>
              <w:end w:w="130" w:type="dxa"/>
            </w:tcMar>
            <w:vAlign w:val="center"/>
            <w:shd w:fill="101216"/>
          </w:tcPr>
          <w:p>
            <w:pPr>
              <w:spacing w:after="0"/>
            </w:pPr>
            <w:r>
              <w:rPr>
                <w:rFonts w:ascii="Aptos" w:hAnsi="Aptos"/>
                <w:b/>
                <w:color w:val="FFFFFF"/>
                <w:sz w:val="16"/>
              </w:rPr>
              <w:t>DECISION EVIDENCE</w:t>
            </w:r>
          </w:p>
        </w:tc>
      </w:tr>
      <w:tr>
        <w:tc>
          <w:tcPr>
            <w:tcW w:type="dxa" w:w="1900"/>
            <w:tcMar>
              <w:top w:w="100" w:type="dxa"/>
              <w:start w:w="130" w:type="dxa"/>
              <w:bottom w:w="100" w:type="dxa"/>
              <w:end w:w="130" w:type="dxa"/>
            </w:tcMar>
            <w:vAlign w:val="center"/>
          </w:tcPr>
          <w:p>
            <w:pPr>
              <w:spacing w:after="0"/>
            </w:pPr>
            <w:r>
              <w:rPr>
                <w:rFonts w:ascii="Aptos" w:hAnsi="Aptos"/>
                <w:color w:val="23272D"/>
                <w:sz w:val="18"/>
              </w:rPr>
              <w:t>CISO / security leadership</w:t>
            </w:r>
          </w:p>
        </w:tc>
        <w:tc>
          <w:tcPr>
            <w:tcW w:type="dxa" w:w="4200"/>
            <w:tcMar>
              <w:top w:w="100" w:type="dxa"/>
              <w:start w:w="130" w:type="dxa"/>
              <w:bottom w:w="100" w:type="dxa"/>
              <w:end w:w="130" w:type="dxa"/>
            </w:tcMar>
            <w:vAlign w:val="center"/>
          </w:tcPr>
          <w:p>
            <w:pPr>
              <w:spacing w:after="0"/>
            </w:pPr>
            <w:r>
              <w:rPr>
                <w:rFonts w:ascii="Aptos" w:hAnsi="Aptos"/>
                <w:color w:val="23272D"/>
                <w:sz w:val="18"/>
              </w:rPr>
              <w:t>Role-aligned capability development and defensible practice boundaries</w:t>
            </w:r>
          </w:p>
        </w:tc>
        <w:tc>
          <w:tcPr>
            <w:tcW w:type="dxa" w:w="3260"/>
            <w:tcMar>
              <w:top w:w="100" w:type="dxa"/>
              <w:start w:w="130" w:type="dxa"/>
              <w:bottom w:w="100" w:type="dxa"/>
              <w:end w:w="130" w:type="dxa"/>
            </w:tcMar>
            <w:vAlign w:val="center"/>
          </w:tcPr>
          <w:p>
            <w:pPr>
              <w:spacing w:after="0"/>
            </w:pPr>
            <w:r>
              <w:rPr>
                <w:rFonts w:ascii="Aptos" w:hAnsi="Aptos"/>
                <w:color w:val="23272D"/>
                <w:sz w:val="18"/>
              </w:rPr>
              <w:t>Pilot outcomes, gaps, and governance requirements</w:t>
            </w:r>
          </w:p>
        </w:tc>
      </w:tr>
      <w:tr>
        <w:tc>
          <w:tcPr>
            <w:tcW w:type="dxa" w:w="1900"/>
            <w:shd w:fill="F2F4F6"/>
            <w:tcMar>
              <w:top w:w="100" w:type="dxa"/>
              <w:start w:w="130" w:type="dxa"/>
              <w:bottom w:w="100" w:type="dxa"/>
              <w:end w:w="130" w:type="dxa"/>
            </w:tcMar>
            <w:vAlign w:val="center"/>
          </w:tcPr>
          <w:p>
            <w:pPr>
              <w:spacing w:after="0"/>
            </w:pPr>
            <w:r>
              <w:rPr>
                <w:rFonts w:ascii="Aptos" w:hAnsi="Aptos"/>
                <w:color w:val="23272D"/>
                <w:sz w:val="18"/>
              </w:rPr>
              <w:t>Security managers</w:t>
            </w:r>
          </w:p>
        </w:tc>
        <w:tc>
          <w:tcPr>
            <w:tcW w:type="dxa" w:w="4200"/>
            <w:shd w:fill="F2F4F6"/>
            <w:tcMar>
              <w:top w:w="100" w:type="dxa"/>
              <w:start w:w="130" w:type="dxa"/>
              <w:bottom w:w="100" w:type="dxa"/>
              <w:end w:w="130" w:type="dxa"/>
            </w:tcMar>
            <w:vAlign w:val="center"/>
          </w:tcPr>
          <w:p>
            <w:pPr>
              <w:spacing w:after="0"/>
            </w:pPr>
            <w:r>
              <w:rPr>
                <w:rFonts w:ascii="Aptos" w:hAnsi="Aptos"/>
                <w:color w:val="23272D"/>
                <w:sz w:val="18"/>
              </w:rPr>
              <w:t>Structured routes, repeat attempts, capstones, and after-action remediation</w:t>
            </w:r>
          </w:p>
        </w:tc>
        <w:tc>
          <w:tcPr>
            <w:tcW w:type="dxa" w:w="3260"/>
            <w:shd w:fill="F2F4F6"/>
            <w:tcMar>
              <w:top w:w="100" w:type="dxa"/>
              <w:start w:w="130" w:type="dxa"/>
              <w:bottom w:w="100" w:type="dxa"/>
              <w:end w:w="130" w:type="dxa"/>
            </w:tcMar>
            <w:vAlign w:val="center"/>
          </w:tcPr>
          <w:p>
            <w:pPr>
              <w:spacing w:after="0"/>
            </w:pPr>
            <w:r>
              <w:rPr>
                <w:rFonts w:ascii="Aptos" w:hAnsi="Aptos"/>
                <w:color w:val="23272D"/>
                <w:sz w:val="18"/>
              </w:rPr>
              <w:t>Exported operator records and practical receipts</w:t>
            </w:r>
          </w:p>
        </w:tc>
      </w:tr>
      <w:tr>
        <w:tc>
          <w:tcPr>
            <w:tcW w:type="dxa" w:w="1900"/>
            <w:tcMar>
              <w:top w:w="100" w:type="dxa"/>
              <w:start w:w="130" w:type="dxa"/>
              <w:bottom w:w="100" w:type="dxa"/>
              <w:end w:w="130" w:type="dxa"/>
            </w:tcMar>
            <w:vAlign w:val="center"/>
          </w:tcPr>
          <w:p>
            <w:pPr>
              <w:spacing w:after="0"/>
            </w:pPr>
            <w:r>
              <w:rPr>
                <w:rFonts w:ascii="Aptos" w:hAnsi="Aptos"/>
                <w:color w:val="23272D"/>
                <w:sz w:val="18"/>
              </w:rPr>
              <w:t>Learning &amp; development</w:t>
            </w:r>
          </w:p>
        </w:tc>
        <w:tc>
          <w:tcPr>
            <w:tcW w:type="dxa" w:w="4200"/>
            <w:tcMar>
              <w:top w:w="100" w:type="dxa"/>
              <w:start w:w="130" w:type="dxa"/>
              <w:bottom w:w="100" w:type="dxa"/>
              <w:end w:w="130" w:type="dxa"/>
            </w:tcMar>
            <w:vAlign w:val="center"/>
          </w:tcPr>
          <w:p>
            <w:pPr>
              <w:spacing w:after="0"/>
            </w:pPr>
            <w:r>
              <w:rPr>
                <w:rFonts w:ascii="Aptos" w:hAnsi="Aptos"/>
                <w:color w:val="23272D"/>
                <w:sz w:val="18"/>
              </w:rPr>
              <w:t>120h45m catalog with clear learning-to-practice workflow</w:t>
            </w:r>
          </w:p>
        </w:tc>
        <w:tc>
          <w:tcPr>
            <w:tcW w:type="dxa" w:w="3260"/>
            <w:tcMar>
              <w:top w:w="100" w:type="dxa"/>
              <w:start w:w="130" w:type="dxa"/>
              <w:bottom w:w="100" w:type="dxa"/>
              <w:end w:w="130" w:type="dxa"/>
            </w:tcMar>
            <w:vAlign w:val="center"/>
          </w:tcPr>
          <w:p>
            <w:pPr>
              <w:spacing w:after="0"/>
            </w:pPr>
            <w:r>
              <w:rPr>
                <w:rFonts w:ascii="Aptos" w:hAnsi="Aptos"/>
                <w:color w:val="23272D"/>
                <w:sz w:val="18"/>
              </w:rPr>
              <w:t>Cohort plan, completion signals, learner feedback</w:t>
            </w:r>
          </w:p>
        </w:tc>
      </w:tr>
      <w:tr>
        <w:tc>
          <w:tcPr>
            <w:tcW w:type="dxa" w:w="1900"/>
            <w:shd w:fill="F2F4F6"/>
            <w:tcMar>
              <w:top w:w="100" w:type="dxa"/>
              <w:start w:w="130" w:type="dxa"/>
              <w:bottom w:w="100" w:type="dxa"/>
              <w:end w:w="130" w:type="dxa"/>
            </w:tcMar>
            <w:vAlign w:val="center"/>
          </w:tcPr>
          <w:p>
            <w:pPr>
              <w:spacing w:after="0"/>
            </w:pPr>
            <w:r>
              <w:rPr>
                <w:rFonts w:ascii="Aptos" w:hAnsi="Aptos"/>
                <w:color w:val="23272D"/>
                <w:sz w:val="18"/>
              </w:rPr>
              <w:t>Internal assurance / red team</w:t>
            </w:r>
          </w:p>
        </w:tc>
        <w:tc>
          <w:tcPr>
            <w:tcW w:type="dxa" w:w="4200"/>
            <w:shd w:fill="F2F4F6"/>
            <w:tcMar>
              <w:top w:w="100" w:type="dxa"/>
              <w:start w:w="130" w:type="dxa"/>
              <w:bottom w:w="100" w:type="dxa"/>
              <w:end w:w="130" w:type="dxa"/>
            </w:tcMar>
            <w:vAlign w:val="center"/>
          </w:tcPr>
          <w:p>
            <w:pPr>
              <w:spacing w:after="0"/>
            </w:pPr>
            <w:r>
              <w:rPr>
                <w:rFonts w:ascii="Aptos" w:hAnsi="Aptos"/>
                <w:color w:val="23272D"/>
                <w:sz w:val="18"/>
              </w:rPr>
              <w:t>Signed scope, campaigns, evidence, findings, retests, reports</w:t>
            </w:r>
          </w:p>
        </w:tc>
        <w:tc>
          <w:tcPr>
            <w:tcW w:type="dxa" w:w="3260"/>
            <w:shd w:fill="F2F4F6"/>
            <w:tcMar>
              <w:top w:w="100" w:type="dxa"/>
              <w:start w:w="130" w:type="dxa"/>
              <w:bottom w:w="100" w:type="dxa"/>
              <w:end w:w="130" w:type="dxa"/>
            </w:tcMar>
            <w:vAlign w:val="center"/>
          </w:tcPr>
          <w:p>
            <w:pPr>
              <w:spacing w:after="0"/>
            </w:pPr>
            <w:r>
              <w:rPr>
                <w:rFonts w:ascii="Aptos" w:hAnsi="Aptos"/>
                <w:color w:val="23272D"/>
                <w:sz w:val="18"/>
              </w:rPr>
              <w:t>FieldOps tabletop and sample case file</w:t>
            </w:r>
          </w:p>
        </w:tc>
      </w:tr>
      <w:tr>
        <w:tc>
          <w:tcPr>
            <w:tcW w:type="dxa" w:w="1900"/>
            <w:tcMar>
              <w:top w:w="100" w:type="dxa"/>
              <w:start w:w="130" w:type="dxa"/>
              <w:bottom w:w="100" w:type="dxa"/>
              <w:end w:w="130" w:type="dxa"/>
            </w:tcMar>
            <w:vAlign w:val="center"/>
          </w:tcPr>
          <w:p>
            <w:pPr>
              <w:spacing w:after="0"/>
            </w:pPr>
            <w:r>
              <w:rPr>
                <w:rFonts w:ascii="Aptos" w:hAnsi="Aptos"/>
                <w:color w:val="23272D"/>
                <w:sz w:val="18"/>
              </w:rPr>
              <w:t>Endpoint engineering</w:t>
            </w:r>
          </w:p>
        </w:tc>
        <w:tc>
          <w:tcPr>
            <w:tcW w:type="dxa" w:w="4200"/>
            <w:tcMar>
              <w:top w:w="100" w:type="dxa"/>
              <w:start w:w="130" w:type="dxa"/>
              <w:bottom w:w="100" w:type="dxa"/>
              <w:end w:w="130" w:type="dxa"/>
            </w:tcMar>
            <w:vAlign w:val="center"/>
          </w:tcPr>
          <w:p>
            <w:pPr>
              <w:spacing w:after="0"/>
            </w:pPr>
            <w:r>
              <w:rPr>
                <w:rFonts w:ascii="Aptos" w:hAnsi="Aptos"/>
                <w:color w:val="23272D"/>
                <w:sz w:val="18"/>
              </w:rPr>
              <w:t>Local deployment with controlled Docker and keyring dependencies</w:t>
            </w:r>
          </w:p>
        </w:tc>
        <w:tc>
          <w:tcPr>
            <w:tcW w:type="dxa" w:w="3260"/>
            <w:tcMar>
              <w:top w:w="100" w:type="dxa"/>
              <w:start w:w="130" w:type="dxa"/>
              <w:bottom w:w="100" w:type="dxa"/>
              <w:end w:w="130" w:type="dxa"/>
            </w:tcMar>
            <w:vAlign w:val="center"/>
          </w:tcPr>
          <w:p>
            <w:pPr>
              <w:spacing w:after="0"/>
            </w:pPr>
            <w:r>
              <w:rPr>
                <w:rFonts w:ascii="Aptos" w:hAnsi="Aptos"/>
                <w:color w:val="23272D"/>
                <w:sz w:val="18"/>
              </w:rPr>
              <w:t>Install, upgrade, rollback, and data-retention runbook</w:t>
            </w:r>
          </w:p>
        </w:tc>
      </w:tr>
      <w:tr>
        <w:tc>
          <w:tcPr>
            <w:tcW w:type="dxa" w:w="1900"/>
            <w:shd w:fill="F2F4F6"/>
            <w:tcMar>
              <w:top w:w="100" w:type="dxa"/>
              <w:start w:w="130" w:type="dxa"/>
              <w:bottom w:w="100" w:type="dxa"/>
              <w:end w:w="130" w:type="dxa"/>
            </w:tcMar>
            <w:vAlign w:val="center"/>
          </w:tcPr>
          <w:p>
            <w:pPr>
              <w:spacing w:after="0"/>
            </w:pPr>
            <w:r>
              <w:rPr>
                <w:rFonts w:ascii="Aptos" w:hAnsi="Aptos"/>
                <w:color w:val="23272D"/>
                <w:sz w:val="18"/>
              </w:rPr>
              <w:t>Procurement / legal</w:t>
            </w:r>
          </w:p>
        </w:tc>
        <w:tc>
          <w:tcPr>
            <w:tcW w:type="dxa" w:w="4200"/>
            <w:shd w:fill="F2F4F6"/>
            <w:tcMar>
              <w:top w:w="100" w:type="dxa"/>
              <w:start w:w="130" w:type="dxa"/>
              <w:bottom w:w="100" w:type="dxa"/>
              <w:end w:w="130" w:type="dxa"/>
            </w:tcMar>
            <w:vAlign w:val="center"/>
          </w:tcPr>
          <w:p>
            <w:pPr>
              <w:spacing w:after="0"/>
            </w:pPr>
            <w:r>
              <w:rPr>
                <w:rFonts w:ascii="Aptos" w:hAnsi="Aptos"/>
                <w:color w:val="23272D"/>
                <w:sz w:val="18"/>
              </w:rPr>
              <w:t>Transparent retail model and explicit current-state disclosures</w:t>
            </w:r>
          </w:p>
        </w:tc>
        <w:tc>
          <w:tcPr>
            <w:tcW w:type="dxa" w:w="3260"/>
            <w:shd w:fill="F2F4F6"/>
            <w:tcMar>
              <w:top w:w="100" w:type="dxa"/>
              <w:start w:w="130" w:type="dxa"/>
              <w:bottom w:w="100" w:type="dxa"/>
              <w:end w:w="130" w:type="dxa"/>
            </w:tcMar>
            <w:vAlign w:val="center"/>
          </w:tcPr>
          <w:p>
            <w:pPr>
              <w:spacing w:after="0"/>
            </w:pPr>
            <w:r>
              <w:rPr>
                <w:rFonts w:ascii="Aptos" w:hAnsi="Aptos"/>
                <w:color w:val="23272D"/>
                <w:sz w:val="18"/>
              </w:rPr>
              <w:t>Commercial agreement, EULA, security review</w:t>
            </w:r>
          </w:p>
        </w:tc>
      </w:tr>
    </w:tbl>
    <w:p>
      <w:pPr>
        <w:pStyle w:val="Heading2"/>
      </w:pPr>
      <w:r>
        <w:t>Where DaemonCore fits</w:t>
      </w:r>
    </w:p>
    <w:p>
      <w:pPr>
        <w:keepNext w:val="0"/>
        <w:spacing w:before="0" w:after="120"/>
      </w:pPr>
      <w:r>
        <w:rPr>
          <w:rFonts w:ascii="Aptos" w:hAnsi="Aptos"/>
          <w:b w:val="0"/>
          <w:i w:val="0"/>
          <w:color w:val="23272D"/>
        </w:rPr>
        <w:t>DaemonCore is best positioned as a practical workforce-development and authorized assessment platform for teams willing to manage local endpoints and evaluate current enterprise gaps directly. It should complement - not falsely claim to replace - a company's identity provider, LMS, SIEM, vulnerability-management system, or centralized cyber range infrastructure.</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BEDEF"/>
          </w:tcPr>
          <w:p>
            <w:pPr>
              <w:spacing w:after="60"/>
            </w:pPr>
            <w:r>
              <w:rPr>
                <w:rFonts w:ascii="Aptos" w:hAnsi="Aptos"/>
                <w:b/>
                <w:color w:val="E33E48"/>
                <w:sz w:val="16"/>
              </w:rPr>
              <w:t>BUYER TAKEAWAY</w:t>
            </w:r>
          </w:p>
          <w:p>
            <w:pPr>
              <w:spacing w:after="0"/>
            </w:pPr>
            <w:r>
              <w:rPr>
                <w:rFonts w:ascii="Aptos" w:hAnsi="Aptos"/>
                <w:color w:val="23272D"/>
                <w:sz w:val="20"/>
              </w:rPr>
              <w:t>The near-term value is real practical depth, sealed local environments, evidence-led progression, and accountable FieldOps operations. The enterprise expansion opportunity is centralized administration, integrations, fleet deployment, and formal assurance.</w:t>
            </w:r>
          </w:p>
        </w:tc>
      </w:tr>
    </w:tbl>
    <w:p>
      <w:pPr>
        <w:spacing w:after="40"/>
      </w:pPr>
    </w:p>
    <w:p>
      <w:pPr>
        <w:sectPr>
          <w:headerReference w:type="default" r:id="rId66"/>
          <w:headerReference w:type="even" r:id="rId67"/>
          <w:headerReference w:type="first" r:id="rId68"/>
          <w:footerReference w:type="default" r:id="rId69"/>
          <w:footerReference w:type="even" r:id="rId70"/>
          <w:footerReference w:type="first" r:id="rId71"/>
          <w:pgSz w:w="12240" w:h="15840"/>
          <w:pgMar w:top="1080" w:right="1440" w:bottom="1037" w:left="1440" w:header="461" w:footer="461" w:gutter="0"/>
          <w:cols w:space="720"/>
          <w:docGrid w:linePitch="360"/>
        </w:sectPr>
      </w:pPr>
    </w:p>
    <w:p>
      <w:pPr>
        <w:keepNext w:val="0"/>
        <w:spacing w:before="0" w:after="200"/>
      </w:pPr>
      <w:r>
        <w:rPr>
          <w:rFonts w:ascii="Aptos" w:hAnsi="Aptos"/>
          <w:b/>
          <w:i w:val="0"/>
          <w:color w:val="E33E48"/>
          <w:sz w:val="18"/>
        </w:rPr>
        <w:t>DAEMONCORE  //  ENTERPRISE EVALUATION</w:t>
      </w:r>
    </w:p>
    <w:p>
      <w:pPr>
        <w:spacing w:after="180"/>
      </w:pPr>
      <w:r>
        <w:rPr>
          <w:rFonts w:ascii="Aptos Display" w:hAnsi="Aptos Display"/>
          <w:b/>
          <w:color w:val="101216"/>
          <w:sz w:val="60"/>
        </w:rPr>
        <w:t>Build operators who can</w:t>
        <w:br/>
        <w:t>show their work.</w:t>
      </w:r>
    </w:p>
    <w:p>
      <w:pPr>
        <w:keepNext w:val="0"/>
        <w:spacing w:before="0" w:after="360"/>
      </w:pPr>
      <w:r>
        <w:rPr>
          <w:rFonts w:ascii="Aptos" w:hAnsi="Aptos"/>
          <w:b w:val="0"/>
          <w:i w:val="0"/>
          <w:color w:val="616873"/>
          <w:sz w:val="26"/>
        </w:rPr>
        <w:t>Use the platform to diagnose capability, build deliberate learning routes, practice inside disposable systems, preserve evidence, and graduate authorized operators into the FieldOps War Room.</w:t>
      </w:r>
    </w:p>
    <w:tbl>
      <w:tblPr>
        <w:tblW w:type="dxa" w:w="9360"/>
        <w:jc w:val="left"/>
        <w:tblLayout w:type="fixed"/>
        <w:tblLook w:firstColumn="1" w:firstRow="1" w:lastColumn="0" w:lastRow="0" w:noHBand="0" w:noVBand="1" w:val="04A0"/>
        <w:tblInd w:w="130" w:type="dxa"/>
      </w:tblPr>
      <w:tblGrid>
        <w:gridCol w:w="9360"/>
      </w:tblGrid>
      <w:tr>
        <w:trPr>
          <w:tblHeader w:val="true"/>
        </w:trPr>
        <w:tc>
          <w:tcPr>
            <w:tcW w:type="dxa" w:w="9360"/>
            <w:tcMar>
              <w:top w:w="100" w:type="dxa"/>
              <w:start w:w="130" w:type="dxa"/>
              <w:bottom w:w="100" w:type="dxa"/>
              <w:end w:w="130" w:type="dxa"/>
            </w:tcMar>
            <w:vAlign w:val="center"/>
            <w:shd w:fill="FBEDEF"/>
          </w:tcPr>
          <w:p>
            <w:pPr>
              <w:spacing w:after="60"/>
            </w:pPr>
            <w:r>
              <w:rPr>
                <w:rFonts w:ascii="Aptos" w:hAnsi="Aptos"/>
                <w:b/>
                <w:color w:val="E33E48"/>
                <w:sz w:val="16"/>
              </w:rPr>
              <w:t>RECOMMENDED NEXT STEP</w:t>
            </w:r>
          </w:p>
          <w:p>
            <w:pPr>
              <w:spacing w:after="0"/>
            </w:pPr>
            <w:r>
              <w:rPr>
                <w:rFonts w:ascii="Aptos" w:hAnsi="Aptos"/>
                <w:color w:val="23272D"/>
                <w:sz w:val="20"/>
              </w:rPr>
              <w:t>Run a managed six-week cohort with representative junior, mid-level, and senior practitioners. Include one endpoint engineer, one security leader, and one training owner in the evaluation team.</w:t>
            </w:r>
          </w:p>
        </w:tc>
      </w:tr>
    </w:tbl>
    <w:p>
      <w:pPr>
        <w:spacing w:after="40"/>
      </w:pPr>
    </w:p>
    <w:p>
      <w:pPr>
        <w:pStyle w:val="Heading2"/>
      </w:pPr>
      <w:r>
        <w:t>Evaluation checklist</w:t>
      </w:r>
    </w:p>
    <w:p>
      <w:pPr>
        <w:pStyle w:val="ListBullet"/>
        <w:keepLines/>
      </w:pPr>
      <w:r>
        <w:rPr>
          <w:rFonts w:ascii="Aptos" w:hAnsi="Aptos"/>
          <w:color w:val="23272D"/>
          <w:sz w:val="21"/>
        </w:rPr>
        <w:t>Select pilot roles, endpoints, and a named internal owner.</w:t>
      </w:r>
    </w:p>
    <w:p>
      <w:pPr>
        <w:pStyle w:val="ListBullet"/>
        <w:keepLines/>
      </w:pPr>
      <w:r>
        <w:rPr>
          <w:rFonts w:ascii="Aptos" w:hAnsi="Aptos"/>
          <w:color w:val="23272D"/>
          <w:sz w:val="21"/>
        </w:rPr>
        <w:t>Review EULA, release signing notice, Docker privileges, and local data handling.</w:t>
      </w:r>
    </w:p>
    <w:p>
      <w:pPr>
        <w:pStyle w:val="ListBullet"/>
        <w:keepLines/>
      </w:pPr>
      <w:r>
        <w:rPr>
          <w:rFonts w:ascii="Aptos" w:hAnsi="Aptos"/>
          <w:color w:val="23272D"/>
          <w:sz w:val="21"/>
        </w:rPr>
        <w:t>Choose Academy routes and define practical evidence expectations.</w:t>
      </w:r>
    </w:p>
    <w:p>
      <w:pPr>
        <w:pStyle w:val="ListBullet"/>
        <w:keepLines/>
      </w:pPr>
      <w:r>
        <w:rPr>
          <w:rFonts w:ascii="Aptos" w:hAnsi="Aptos"/>
          <w:color w:val="23272D"/>
          <w:sz w:val="21"/>
        </w:rPr>
        <w:t>Decide whether FieldOps is included and identify organization-owned test assets.</w:t>
      </w:r>
    </w:p>
    <w:p>
      <w:pPr>
        <w:pStyle w:val="ListBullet"/>
        <w:keepLines/>
      </w:pPr>
      <w:r>
        <w:rPr>
          <w:rFonts w:ascii="Aptos" w:hAnsi="Aptos"/>
          <w:color w:val="23272D"/>
          <w:sz w:val="21"/>
        </w:rPr>
        <w:t>Document required enterprise integrations and support terms before scale-up.</w:t>
      </w:r>
    </w:p>
    <w:p/>
    <w:tbl>
      <w:tblPr>
        <w:tblW w:type="dxa" w:w="9360"/>
        <w:jc w:val="left"/>
        <w:tblLayout w:type="fixed"/>
        <w:tblLook w:firstColumn="1" w:firstRow="1" w:lastColumn="0" w:lastRow="0" w:noHBand="0" w:noVBand="1" w:val="04A0"/>
        <w:tblInd w:w="130" w:type="dxa"/>
      </w:tblPr>
      <w:tblGrid>
        <w:gridCol w:w="4680"/>
        <w:gridCol w:w="4680"/>
      </w:tblGrid>
      <w:tr>
        <w:trPr>
          <w:tblHeader w:val="true"/>
        </w:trPr>
        <w:tc>
          <w:tcPr>
            <w:tcW w:type="dxa" w:w="4680"/>
            <w:tcMar>
              <w:top w:w="100" w:type="dxa"/>
              <w:start w:w="130" w:type="dxa"/>
              <w:bottom w:w="100" w:type="dxa"/>
              <w:end w:w="130" w:type="dxa"/>
            </w:tcMar>
            <w:vAlign w:val="center"/>
            <w:shd w:fill="101216"/>
          </w:tcPr>
          <w:p>
            <w:pPr>
              <w:spacing w:after="40"/>
              <w:jc w:val="center"/>
            </w:pPr>
            <w:hyperlink r:id="rId78">
              <w:r>
                <w:rPr>
                  <w:rFonts w:ascii="Aptos Display" w:hAnsi="Aptos Display"/>
                  <w:color w:val="FFFFFF"/>
                  <w:sz w:val="25"/>
                  <w:b/>
                </w:rPr>
                <w:t>academy.daemoncore.app</w:t>
              </w:r>
            </w:hyperlink>
          </w:p>
          <w:p>
            <w:pPr>
              <w:spacing w:after="0"/>
              <w:jc w:val="center"/>
            </w:pPr>
            <w:r>
              <w:rPr>
                <w:rFonts w:ascii="Aptos" w:hAnsi="Aptos"/>
                <w:b/>
                <w:color w:val="C7CBD1"/>
                <w:sz w:val="15"/>
              </w:rPr>
              <w:t>PRODUCT AND DOWNLOADS</w:t>
            </w:r>
          </w:p>
        </w:tc>
        <w:tc>
          <w:tcPr>
            <w:tcW w:type="dxa" w:w="4680"/>
            <w:tcMar>
              <w:top w:w="100" w:type="dxa"/>
              <w:start w:w="130" w:type="dxa"/>
              <w:bottom w:w="100" w:type="dxa"/>
              <w:end w:w="130" w:type="dxa"/>
            </w:tcMar>
            <w:vAlign w:val="center"/>
            <w:shd w:fill="101216"/>
          </w:tcPr>
          <w:p>
            <w:pPr>
              <w:spacing w:after="40"/>
              <w:jc w:val="center"/>
            </w:pPr>
            <w:hyperlink r:id="rId79">
              <w:r>
                <w:rPr>
                  <w:rFonts w:ascii="Aptos Display" w:hAnsi="Aptos Display"/>
                  <w:color w:val="FFFFFF"/>
                  <w:sz w:val="25"/>
                  <w:b/>
                </w:rPr>
                <w:t>github.com/DaemoncoreApps</w:t>
              </w:r>
            </w:hyperlink>
          </w:p>
          <w:p>
            <w:pPr>
              <w:spacing w:after="0"/>
              <w:jc w:val="center"/>
            </w:pPr>
            <w:r>
              <w:rPr>
                <w:rFonts w:ascii="Aptos" w:hAnsi="Aptos"/>
                <w:b/>
                <w:color w:val="C7CBD1"/>
                <w:sz w:val="15"/>
              </w:rPr>
              <w:t>RELEASE TRANSPARENCY</w:t>
            </w:r>
          </w:p>
        </w:tc>
      </w:tr>
    </w:tbl>
    <w:p>
      <w:pPr>
        <w:keepNext w:val="0"/>
        <w:spacing w:before="0" w:after="0"/>
      </w:pPr>
      <w:r>
        <w:rPr>
          <w:rFonts w:ascii="Aptos" w:hAnsi="Aptos"/>
          <w:b w:val="0"/>
          <w:i/>
          <w:color w:val="616873"/>
          <w:sz w:val="16"/>
        </w:rPr>
        <w:t>Product facts validated against the DaemonCore Academy 6.0.0 repository and release contract on 1 September 2026. This brief is product information, not a certification, penetration-test authorization, or substitute for organizational security review.</w:t>
      </w:r>
    </w:p>
    <w:sectPr w:rsidR="00FC693F" w:rsidRPr="0006063C" w:rsidSect="00034616">
      <w:headerReference w:type="default" r:id="rId72"/>
      <w:headerReference w:type="even" r:id="rId73"/>
      <w:headerReference w:type="first" r:id="rId74"/>
      <w:footerReference w:type="default" r:id="rId75"/>
      <w:footerReference w:type="even" r:id="rId76"/>
      <w:footerReference w:type="first" r:id="rId77"/>
      <w:pgSz w:w="12240" w:h="15840"/>
      <w:pgMar w:top="1080" w:right="1440" w:bottom="1037" w:left="1440"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2</w:t>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5</w:t>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5</w:t>
    </w:r>
  </w:p>
</w:ftr>
</file>

<file path=word/footer1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5</w:t>
    </w:r>
  </w:p>
</w:ftr>
</file>

<file path=word/footer1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6</w:t>
    </w:r>
  </w:p>
</w:ftr>
</file>

<file path=word/footer1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6</w:t>
    </w:r>
  </w:p>
</w:ftr>
</file>

<file path=word/footer1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6</w:t>
    </w:r>
  </w:p>
</w:ftr>
</file>

<file path=word/footer1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7</w:t>
    </w:r>
  </w:p>
</w:ftr>
</file>

<file path=word/footer1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7</w:t>
    </w:r>
  </w:p>
</w:ftr>
</file>

<file path=word/footer1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7</w:t>
    </w:r>
  </w:p>
</w:ftr>
</file>

<file path=word/footer1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8</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2</w:t>
    </w:r>
  </w:p>
</w:ftr>
</file>

<file path=word/footer2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8</w:t>
    </w:r>
  </w:p>
</w:ftr>
</file>

<file path=word/footer2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8</w:t>
    </w:r>
  </w:p>
</w:ftr>
</file>

<file path=word/footer2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9</w:t>
    </w:r>
  </w:p>
</w:ftr>
</file>

<file path=word/footer2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9</w:t>
    </w:r>
  </w:p>
</w:ftr>
</file>

<file path=word/footer2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9</w:t>
    </w:r>
  </w:p>
</w:ftr>
</file>

<file path=word/footer2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10</w:t>
    </w:r>
  </w:p>
</w:ftr>
</file>

<file path=word/footer2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10</w:t>
    </w:r>
  </w:p>
</w:ftr>
</file>

<file path=word/footer2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10</w:t>
    </w:r>
  </w:p>
</w:ftr>
</file>

<file path=word/footer2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11</w:t>
    </w:r>
  </w:p>
</w:ftr>
</file>

<file path=word/footer2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11</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2</w:t>
    </w:r>
  </w:p>
</w:ftr>
</file>

<file path=word/footer3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11</w:t>
    </w:r>
  </w:p>
</w:ftr>
</file>

<file path=word/footer3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12</w:t>
    </w:r>
  </w:p>
</w:ftr>
</file>

<file path=word/footer3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12</w:t>
    </w:r>
  </w:p>
</w:ftr>
</file>

<file path=word/footer3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12</w: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3</w:t>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3</w:t>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3</w:t>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4</w:t>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4</w:t>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color w:val="616873"/>
        <w:sz w:val="16"/>
      </w:rPr>
      <w:t>DAEMONCORE ACADEMY 6  |  SEPTEMBER 2026  |  4</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1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2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3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3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3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3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6873"/>
        <w:sz w:val="16"/>
      </w:rPr>
      <w:t>DAEMONCORE  //  ENTERPRISE TRAINING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Aptos" w:hAnsi="Aptos"/>
      <w:color w:val="23272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E33E4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E33E4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10121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720" w:hanging="360"/>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64" w:lineRule="auto"/>
      <w:ind w:left="720" w:hanging="36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oter" Target="footer4.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image" Target="media/image2.png"/><Relationship Id="rId23" Type="http://schemas.openxmlformats.org/officeDocument/2006/relationships/header" Target="header7.xml"/><Relationship Id="rId24" Type="http://schemas.openxmlformats.org/officeDocument/2006/relationships/header" Target="header8.xml"/><Relationship Id="rId25" Type="http://schemas.openxmlformats.org/officeDocument/2006/relationships/header" Target="header9.xml"/><Relationship Id="rId26" Type="http://schemas.openxmlformats.org/officeDocument/2006/relationships/footer" Target="footer7.xml"/><Relationship Id="rId27" Type="http://schemas.openxmlformats.org/officeDocument/2006/relationships/footer" Target="footer8.xml"/><Relationship Id="rId28" Type="http://schemas.openxmlformats.org/officeDocument/2006/relationships/footer" Target="footer9.xml"/><Relationship Id="rId29" Type="http://schemas.openxmlformats.org/officeDocument/2006/relationships/header" Target="header10.xml"/><Relationship Id="rId30" Type="http://schemas.openxmlformats.org/officeDocument/2006/relationships/header" Target="header11.xml"/><Relationship Id="rId31" Type="http://schemas.openxmlformats.org/officeDocument/2006/relationships/header" Target="header12.xm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footer" Target="footer12.xml"/><Relationship Id="rId35" Type="http://schemas.openxmlformats.org/officeDocument/2006/relationships/header" Target="header13.xml"/><Relationship Id="rId36" Type="http://schemas.openxmlformats.org/officeDocument/2006/relationships/header" Target="header14.xml"/><Relationship Id="rId37" Type="http://schemas.openxmlformats.org/officeDocument/2006/relationships/header" Target="header15.xml"/><Relationship Id="rId38" Type="http://schemas.openxmlformats.org/officeDocument/2006/relationships/footer" Target="footer13.xml"/><Relationship Id="rId39" Type="http://schemas.openxmlformats.org/officeDocument/2006/relationships/footer" Target="footer14.xml"/><Relationship Id="rId40" Type="http://schemas.openxmlformats.org/officeDocument/2006/relationships/footer" Target="footer15.xml"/><Relationship Id="rId41" Type="http://schemas.openxmlformats.org/officeDocument/2006/relationships/header" Target="header16.xml"/><Relationship Id="rId42" Type="http://schemas.openxmlformats.org/officeDocument/2006/relationships/header" Target="header17.xml"/><Relationship Id="rId43" Type="http://schemas.openxmlformats.org/officeDocument/2006/relationships/header" Target="header18.xml"/><Relationship Id="rId44" Type="http://schemas.openxmlformats.org/officeDocument/2006/relationships/footer" Target="footer16.xml"/><Relationship Id="rId45" Type="http://schemas.openxmlformats.org/officeDocument/2006/relationships/footer" Target="footer17.xml"/><Relationship Id="rId46" Type="http://schemas.openxmlformats.org/officeDocument/2006/relationships/footer" Target="footer18.xml"/><Relationship Id="rId47" Type="http://schemas.openxmlformats.org/officeDocument/2006/relationships/image" Target="media/image3.png"/><Relationship Id="rId48" Type="http://schemas.openxmlformats.org/officeDocument/2006/relationships/header" Target="header19.xml"/><Relationship Id="rId49" Type="http://schemas.openxmlformats.org/officeDocument/2006/relationships/header" Target="header20.xml"/><Relationship Id="rId50" Type="http://schemas.openxmlformats.org/officeDocument/2006/relationships/header" Target="header21.xml"/><Relationship Id="rId51" Type="http://schemas.openxmlformats.org/officeDocument/2006/relationships/footer" Target="footer19.xml"/><Relationship Id="rId52" Type="http://schemas.openxmlformats.org/officeDocument/2006/relationships/footer" Target="footer20.xml"/><Relationship Id="rId53" Type="http://schemas.openxmlformats.org/officeDocument/2006/relationships/footer" Target="footer21.xml"/><Relationship Id="rId54" Type="http://schemas.openxmlformats.org/officeDocument/2006/relationships/header" Target="header22.xml"/><Relationship Id="rId55" Type="http://schemas.openxmlformats.org/officeDocument/2006/relationships/header" Target="header23.xml"/><Relationship Id="rId56" Type="http://schemas.openxmlformats.org/officeDocument/2006/relationships/header" Target="header24.xml"/><Relationship Id="rId57" Type="http://schemas.openxmlformats.org/officeDocument/2006/relationships/footer" Target="footer22.xml"/><Relationship Id="rId58" Type="http://schemas.openxmlformats.org/officeDocument/2006/relationships/footer" Target="footer23.xml"/><Relationship Id="rId59" Type="http://schemas.openxmlformats.org/officeDocument/2006/relationships/footer" Target="footer24.xml"/><Relationship Id="rId60" Type="http://schemas.openxmlformats.org/officeDocument/2006/relationships/header" Target="header25.xml"/><Relationship Id="rId61" Type="http://schemas.openxmlformats.org/officeDocument/2006/relationships/header" Target="header26.xml"/><Relationship Id="rId62" Type="http://schemas.openxmlformats.org/officeDocument/2006/relationships/header" Target="header27.xml"/><Relationship Id="rId63" Type="http://schemas.openxmlformats.org/officeDocument/2006/relationships/footer" Target="footer25.xml"/><Relationship Id="rId64" Type="http://schemas.openxmlformats.org/officeDocument/2006/relationships/footer" Target="footer26.xml"/><Relationship Id="rId65" Type="http://schemas.openxmlformats.org/officeDocument/2006/relationships/footer" Target="footer27.xml"/><Relationship Id="rId66" Type="http://schemas.openxmlformats.org/officeDocument/2006/relationships/header" Target="header28.xml"/><Relationship Id="rId67" Type="http://schemas.openxmlformats.org/officeDocument/2006/relationships/header" Target="header29.xml"/><Relationship Id="rId68" Type="http://schemas.openxmlformats.org/officeDocument/2006/relationships/header" Target="header30.xml"/><Relationship Id="rId69" Type="http://schemas.openxmlformats.org/officeDocument/2006/relationships/footer" Target="footer28.xml"/><Relationship Id="rId70" Type="http://schemas.openxmlformats.org/officeDocument/2006/relationships/footer" Target="footer29.xml"/><Relationship Id="rId71" Type="http://schemas.openxmlformats.org/officeDocument/2006/relationships/footer" Target="footer30.xml"/><Relationship Id="rId72" Type="http://schemas.openxmlformats.org/officeDocument/2006/relationships/header" Target="header31.xml"/><Relationship Id="rId73" Type="http://schemas.openxmlformats.org/officeDocument/2006/relationships/header" Target="header32.xml"/><Relationship Id="rId74" Type="http://schemas.openxmlformats.org/officeDocument/2006/relationships/header" Target="header33.xml"/><Relationship Id="rId75" Type="http://schemas.openxmlformats.org/officeDocument/2006/relationships/footer" Target="footer31.xml"/><Relationship Id="rId76" Type="http://schemas.openxmlformats.org/officeDocument/2006/relationships/footer" Target="footer32.xml"/><Relationship Id="rId77" Type="http://schemas.openxmlformats.org/officeDocument/2006/relationships/footer" Target="footer33.xml"/><Relationship Id="rId78" Type="http://schemas.openxmlformats.org/officeDocument/2006/relationships/hyperlink" Target="https://academy.daemoncore.app" TargetMode="External"/><Relationship Id="rId79" Type="http://schemas.openxmlformats.org/officeDocument/2006/relationships/hyperlink" Target="https://github.com/DaemoncoreAp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DaemonCore Academy Enterprise Training &amp; Workforce Readiness Brief</dc:title>
  <dc:subject>Enterprise cyber workforce development and authorized assessment capability</dc:subject>
  <dc:creator>DaemonCore Apps</dc:creator>
  <cp:keywords>DaemonCore, enterprise training, cybersecurity workforce, cyber range, FieldOps</cp:keywords>
  <dc:description>generated by python-docx</dc:description>
  <cp:lastModifiedBy/>
  <cp:revision>1</cp:revision>
  <dcterms:created xsi:type="dcterms:W3CDTF">2013-12-23T23:15:00Z</dcterms:created>
  <dcterms:modified xsi:type="dcterms:W3CDTF">2013-12-23T23:15:00Z</dcterms:modified>
  <cp:category/>
</cp:coreProperties>
</file>